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方正小标宋简体" w:hAnsi="方正小标宋简体" w:eastAsia="方正小标宋简体" w:cs="方正小标宋简体"/>
          <w:kern w:val="2"/>
          <w:sz w:val="72"/>
          <w:szCs w:val="72"/>
          <w:lang w:val="zh-CN"/>
        </w:rPr>
      </w:pPr>
    </w:p>
    <w:p>
      <w:pPr>
        <w:pStyle w:val="6"/>
        <w:spacing w:before="72"/>
        <w:jc w:val="center"/>
        <w:rPr>
          <w:rFonts w:hint="eastAsia" w:ascii="方正小标宋简体" w:hAnsi="宋体" w:eastAsia="方正小标宋简体" w:cs="Times New Roman"/>
          <w:kern w:val="2"/>
          <w:sz w:val="44"/>
          <w:szCs w:val="44"/>
        </w:rPr>
      </w:pPr>
      <w:r>
        <w:rPr>
          <w:rFonts w:hint="eastAsia" w:ascii="方正小标宋简体" w:hAnsi="宋体" w:eastAsia="方正小标宋简体" w:cs="Times New Roman"/>
          <w:kern w:val="2"/>
          <w:sz w:val="44"/>
          <w:szCs w:val="44"/>
        </w:rPr>
        <w:t>2023年度四川省</w:t>
      </w:r>
    </w:p>
    <w:p>
      <w:pPr>
        <w:pStyle w:val="6"/>
        <w:spacing w:before="72"/>
        <w:jc w:val="center"/>
        <w:rPr>
          <w:rFonts w:hint="eastAsia" w:ascii="方正小标宋简体" w:hAnsi="宋体" w:eastAsia="方正小标宋简体" w:cs="Times New Roman"/>
          <w:kern w:val="2"/>
          <w:sz w:val="44"/>
          <w:szCs w:val="44"/>
        </w:rPr>
      </w:pPr>
      <w:r>
        <w:rPr>
          <w:rFonts w:hint="eastAsia" w:ascii="方正小标宋简体" w:hAnsi="宋体" w:eastAsia="方正小标宋简体" w:cs="Times New Roman"/>
          <w:kern w:val="2"/>
          <w:sz w:val="44"/>
          <w:szCs w:val="44"/>
        </w:rPr>
        <w:t>泸县得胜镇人民政府单位决算</w:t>
      </w:r>
    </w:p>
    <w:p>
      <w:pPr>
        <w:widowControl/>
        <w:autoSpaceDE/>
        <w:autoSpaceDN/>
        <w:adjustRightInd/>
        <w:rPr>
          <w:rFonts w:hint="eastAsia" w:ascii="黑体" w:hAnsi="黑体" w:eastAsia="黑体" w:cs="黑体"/>
          <w:kern w:val="2"/>
          <w:sz w:val="48"/>
          <w:szCs w:val="48"/>
          <w:lang w:val="zh-CN"/>
        </w:rPr>
      </w:pPr>
    </w:p>
    <w:p>
      <w:pPr>
        <w:pStyle w:val="6"/>
        <w:spacing w:before="72"/>
        <w:rPr>
          <w:rFonts w:hint="eastAsia" w:ascii="黑体" w:hAnsi="黑体" w:eastAsia="黑体" w:cs="黑体"/>
          <w:kern w:val="2"/>
          <w:sz w:val="48"/>
          <w:szCs w:val="48"/>
          <w:lang w:val="zh-CN"/>
        </w:rPr>
      </w:pPr>
    </w:p>
    <w:p>
      <w:pPr>
        <w:pStyle w:val="5"/>
        <w:rPr>
          <w:lang w:val="zh-CN"/>
        </w:rPr>
      </w:pPr>
    </w:p>
    <w:p>
      <w:pPr>
        <w:pStyle w:val="6"/>
        <w:spacing w:before="72"/>
        <w:rPr>
          <w:rFonts w:hint="eastAsia" w:ascii="黑体" w:hAnsi="黑体" w:eastAsia="黑体" w:cs="黑体"/>
          <w:kern w:val="2"/>
          <w:sz w:val="48"/>
          <w:szCs w:val="48"/>
          <w:lang w:val="zh-CN"/>
        </w:rPr>
      </w:pPr>
    </w:p>
    <w:p>
      <w:pPr>
        <w:pStyle w:val="5"/>
        <w:rPr>
          <w:rFonts w:hint="eastAsia" w:ascii="黑体" w:hAnsi="黑体" w:eastAsia="黑体" w:cs="黑体"/>
          <w:kern w:val="2"/>
          <w:sz w:val="48"/>
          <w:szCs w:val="48"/>
          <w:lang w:val="zh-CN"/>
        </w:rPr>
      </w:pPr>
    </w:p>
    <w:p>
      <w:pPr>
        <w:rPr>
          <w:rFonts w:hint="eastAsia" w:ascii="黑体" w:hAnsi="黑体" w:eastAsia="黑体" w:cs="黑体"/>
          <w:kern w:val="2"/>
          <w:sz w:val="48"/>
          <w:szCs w:val="48"/>
          <w:lang w:val="zh-CN"/>
        </w:rPr>
      </w:pPr>
    </w:p>
    <w:p>
      <w:pPr>
        <w:pStyle w:val="13"/>
        <w:rPr>
          <w:rFonts w:hint="eastAsia" w:ascii="黑体" w:hAnsi="黑体" w:eastAsia="黑体" w:cs="黑体"/>
          <w:kern w:val="2"/>
          <w:sz w:val="48"/>
          <w:szCs w:val="48"/>
          <w:lang w:val="zh-CN"/>
        </w:rPr>
      </w:pPr>
    </w:p>
    <w:p>
      <w:pPr>
        <w:pStyle w:val="8"/>
        <w:ind w:left="480" w:firstLine="960"/>
        <w:rPr>
          <w:rFonts w:hint="eastAsia" w:ascii="黑体" w:hAnsi="黑体" w:eastAsia="黑体" w:cs="黑体"/>
          <w:kern w:val="2"/>
          <w:sz w:val="48"/>
          <w:szCs w:val="48"/>
          <w:lang w:val="zh-CN"/>
        </w:rPr>
      </w:pPr>
    </w:p>
    <w:p>
      <w:pPr>
        <w:pStyle w:val="8"/>
        <w:ind w:left="480" w:firstLine="960"/>
        <w:rPr>
          <w:rFonts w:hint="eastAsia" w:ascii="黑体" w:hAnsi="黑体" w:eastAsia="黑体" w:cs="黑体"/>
          <w:kern w:val="2"/>
          <w:sz w:val="48"/>
          <w:szCs w:val="48"/>
          <w:lang w:val="zh-CN"/>
        </w:rPr>
      </w:pPr>
    </w:p>
    <w:p>
      <w:pPr>
        <w:pStyle w:val="8"/>
        <w:ind w:left="480" w:firstLine="960"/>
        <w:rPr>
          <w:rFonts w:hint="eastAsia" w:ascii="黑体" w:hAnsi="黑体" w:eastAsia="黑体" w:cs="黑体"/>
          <w:kern w:val="2"/>
          <w:sz w:val="48"/>
          <w:szCs w:val="48"/>
          <w:lang w:val="zh-CN"/>
        </w:rPr>
      </w:pPr>
    </w:p>
    <w:p>
      <w:pPr>
        <w:pStyle w:val="8"/>
        <w:ind w:left="480" w:firstLine="960"/>
        <w:rPr>
          <w:rFonts w:hint="eastAsia" w:ascii="黑体" w:hAnsi="黑体" w:eastAsia="黑体" w:cs="黑体"/>
          <w:kern w:val="2"/>
          <w:sz w:val="48"/>
          <w:szCs w:val="48"/>
          <w:lang w:val="zh-CN"/>
        </w:rPr>
      </w:pPr>
    </w:p>
    <w:p>
      <w:pPr>
        <w:pStyle w:val="5"/>
        <w:rPr>
          <w:rFonts w:hint="eastAsia" w:ascii="黑体" w:hAnsi="黑体" w:eastAsia="黑体" w:cs="黑体"/>
          <w:kern w:val="2"/>
          <w:sz w:val="48"/>
          <w:szCs w:val="48"/>
          <w:lang w:val="zh-CN"/>
        </w:rPr>
      </w:pPr>
    </w:p>
    <w:p>
      <w:pPr>
        <w:rPr>
          <w:rFonts w:hint="eastAsia" w:ascii="黑体" w:hAnsi="黑体" w:eastAsia="黑体" w:cs="黑体"/>
          <w:kern w:val="2"/>
          <w:sz w:val="48"/>
          <w:szCs w:val="48"/>
          <w:lang w:val="zh-CN"/>
        </w:rPr>
      </w:pPr>
    </w:p>
    <w:p>
      <w:pPr>
        <w:pStyle w:val="6"/>
        <w:spacing w:before="72"/>
        <w:rPr>
          <w:rFonts w:hint="eastAsia" w:ascii="黑体" w:hAnsi="黑体" w:eastAsia="黑体" w:cs="黑体"/>
          <w:kern w:val="2"/>
          <w:sz w:val="48"/>
          <w:szCs w:val="48"/>
          <w:lang w:val="zh-CN"/>
        </w:rPr>
      </w:pPr>
    </w:p>
    <w:p>
      <w:pPr>
        <w:rPr>
          <w:rFonts w:hint="eastAsia" w:ascii="黑体" w:hAnsi="黑体" w:eastAsia="黑体" w:cs="黑体"/>
          <w:kern w:val="2"/>
          <w:sz w:val="48"/>
          <w:szCs w:val="48"/>
          <w:lang w:val="zh-CN"/>
        </w:rPr>
      </w:pPr>
    </w:p>
    <w:p>
      <w:pPr>
        <w:pStyle w:val="6"/>
        <w:spacing w:before="72"/>
        <w:rPr>
          <w:lang w:val="zh-CN"/>
        </w:rPr>
      </w:pPr>
    </w:p>
    <w:p>
      <w:pPr>
        <w:jc w:val="center"/>
        <w:rPr>
          <w:rFonts w:hint="eastAsia" w:ascii="黑体" w:hAnsi="黑体" w:eastAsia="黑体" w:cs="黑体"/>
          <w:kern w:val="2"/>
          <w:sz w:val="48"/>
          <w:szCs w:val="48"/>
          <w:lang w:val="zh-CN"/>
        </w:rPr>
      </w:pPr>
      <w:r>
        <w:rPr>
          <w:rFonts w:hint="eastAsia" w:ascii="黑体" w:hAnsi="黑体" w:eastAsia="黑体" w:cs="黑体"/>
          <w:kern w:val="2"/>
          <w:sz w:val="48"/>
          <w:szCs w:val="48"/>
          <w:lang w:val="zh-CN"/>
        </w:rPr>
        <w:t>目录</w:t>
      </w:r>
      <w:bookmarkStart w:id="30" w:name="_GoBack"/>
      <w:bookmarkEnd w:id="30"/>
    </w:p>
    <w:p>
      <w:pPr>
        <w:pStyle w:val="13"/>
        <w:rPr>
          <w:lang w:val="zh-CN"/>
        </w:rPr>
      </w:pPr>
    </w:p>
    <w:p>
      <w:pPr>
        <w:pStyle w:val="12"/>
        <w:tabs>
          <w:tab w:val="right" w:leader="dot" w:pos="8296"/>
        </w:tabs>
        <w:jc w:val="center"/>
        <w:rPr>
          <w:lang w:val="zh-CN"/>
        </w:rPr>
      </w:pPr>
      <w:r>
        <w:rPr>
          <w:rFonts w:hint="eastAsia"/>
        </w:rPr>
        <w:t>公开时间：202</w:t>
      </w:r>
      <w:r>
        <w:rPr>
          <w:rFonts w:hint="eastAsia"/>
          <w:lang w:val="en-US" w:eastAsia="zh-CN"/>
        </w:rPr>
        <w:t>4</w:t>
      </w:r>
      <w:r>
        <w:rPr>
          <w:rFonts w:hint="eastAsia"/>
        </w:rPr>
        <w:t>年</w:t>
      </w:r>
      <w:r>
        <w:rPr>
          <w:rFonts w:hint="eastAsia"/>
          <w:lang w:val="en-US" w:eastAsia="zh-CN"/>
        </w:rPr>
        <w:t>12</w:t>
      </w:r>
      <w:r>
        <w:rPr>
          <w:rFonts w:hint="eastAsia"/>
        </w:rPr>
        <w:t>月</w:t>
      </w:r>
      <w:r>
        <w:rPr>
          <w:rFonts w:hint="eastAsia"/>
          <w:lang w:val="en-US" w:eastAsia="zh-CN"/>
        </w:rPr>
        <w:t>27</w:t>
      </w:r>
      <w:r>
        <w:rPr>
          <w:rFonts w:hint="eastAsia"/>
        </w:rPr>
        <w:t>日</w:t>
      </w:r>
    </w:p>
    <w:sdt>
      <w:sdtPr>
        <w:rPr>
          <w:rFonts w:ascii="Times New Roman" w:hAnsi="Times New Roman" w:eastAsia="等线" w:cs="Times New Roman"/>
          <w:color w:val="auto"/>
          <w:sz w:val="24"/>
          <w:szCs w:val="24"/>
          <w:lang w:val="zh-CN"/>
          <w14:ligatures w14:val="standardContextual"/>
        </w:rPr>
        <w:id w:val="1357540700"/>
        <w:docPartObj>
          <w:docPartGallery w:val="Table of Contents"/>
          <w:docPartUnique/>
        </w:docPartObj>
      </w:sdtPr>
      <w:sdtEndPr>
        <w:rPr>
          <w:rFonts w:ascii="Times New Roman" w:hAnsi="Times New Roman" w:eastAsia="等线" w:cs="Times New Roman"/>
          <w:b/>
          <w:bCs/>
          <w:color w:val="auto"/>
          <w:sz w:val="24"/>
          <w:szCs w:val="24"/>
          <w:lang w:val="zh-CN"/>
          <w14:ligatures w14:val="standardContextual"/>
        </w:rPr>
      </w:sdtEndPr>
      <w:sdtContent>
        <w:p>
          <w:pPr>
            <w:pStyle w:val="22"/>
            <w:rPr>
              <w:rFonts w:hint="eastAsia"/>
            </w:rPr>
          </w:pPr>
        </w:p>
        <w:p>
          <w:pPr>
            <w:pStyle w:val="12"/>
            <w:tabs>
              <w:tab w:val="right" w:leader="dot" w:pos="8630"/>
            </w:tabs>
            <w:rPr>
              <w:rFonts w:hint="eastAsia" w:asciiTheme="minorHAnsi" w:hAnsiTheme="minorHAnsi" w:eastAsiaTheme="minorEastAsia" w:cstheme="minorBidi"/>
              <w:kern w:val="2"/>
              <w:sz w:val="21"/>
              <w:szCs w:val="22"/>
            </w:rPr>
          </w:pPr>
          <w:r>
            <w:fldChar w:fldCharType="begin"/>
          </w:r>
          <w:r>
            <w:instrText xml:space="preserve"> TOC \o "1-3" \h \z \u </w:instrText>
          </w:r>
          <w:r>
            <w:fldChar w:fldCharType="separate"/>
          </w:r>
          <w:r>
            <w:fldChar w:fldCharType="begin"/>
          </w:r>
          <w:r>
            <w:instrText xml:space="preserve"> HYPERLINK \l "_Toc148450354" </w:instrText>
          </w:r>
          <w:r>
            <w:fldChar w:fldCharType="separate"/>
          </w:r>
          <w:r>
            <w:rPr>
              <w:rStyle w:val="16"/>
              <w:rFonts w:ascii="黑体" w:hAnsi="黑体" w:eastAsia="黑体" w:cs="黑体"/>
              <w:lang w:val="zh-CN"/>
            </w:rPr>
            <w:t>第一部分 单位概况</w:t>
          </w:r>
          <w:r>
            <w:tab/>
          </w:r>
          <w:r>
            <w:fldChar w:fldCharType="begin"/>
          </w:r>
          <w:r>
            <w:instrText xml:space="preserve"> PAGEREF _Toc148450354 \h </w:instrText>
          </w:r>
          <w:r>
            <w:fldChar w:fldCharType="separate"/>
          </w:r>
          <w:r>
            <w:t>3</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"_Toc148450355" </w:instrText>
          </w:r>
          <w:r>
            <w:fldChar w:fldCharType="separate"/>
          </w:r>
          <w:r>
            <w:rPr>
              <w:rStyle w:val="16"/>
              <w:rFonts w:ascii="黑体" w:hAnsi="黑体" w:eastAsia="黑体" w:cs="黑体"/>
              <w:lang w:val="zh-CN"/>
            </w:rPr>
            <w:t>一、主要职责</w:t>
          </w:r>
          <w:r>
            <w:tab/>
          </w:r>
          <w:r>
            <w:fldChar w:fldCharType="begin"/>
          </w:r>
          <w:r>
            <w:instrText xml:space="preserve"> PAGEREF _Toc148450355 \h </w:instrText>
          </w:r>
          <w:r>
            <w:fldChar w:fldCharType="separate"/>
          </w:r>
          <w:r>
            <w:t>3</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"_Toc148450356" </w:instrText>
          </w:r>
          <w:r>
            <w:fldChar w:fldCharType="separate"/>
          </w:r>
          <w:r>
            <w:rPr>
              <w:rStyle w:val="16"/>
              <w:rFonts w:ascii="黑体" w:hAnsi="黑体" w:eastAsia="黑体" w:cs="黑体"/>
              <w:lang w:val="zh-CN"/>
            </w:rPr>
            <w:t>二、机构设置</w:t>
          </w:r>
          <w:r>
            <w:tab/>
          </w:r>
          <w:r>
            <w:fldChar w:fldCharType="begin"/>
          </w:r>
          <w:r>
            <w:instrText xml:space="preserve"> PAGEREF _Toc148450356 \h </w:instrText>
          </w:r>
          <w:r>
            <w:fldChar w:fldCharType="separate"/>
          </w:r>
          <w:r>
            <w:t>3</w:t>
          </w:r>
          <w:r>
            <w:fldChar w:fldCharType="end"/>
          </w:r>
          <w:r>
            <w:fldChar w:fldCharType="end"/>
          </w:r>
        </w:p>
        <w:p>
          <w:pPr>
            <w:pStyle w:val="12"/>
            <w:tabs>
              <w:tab w:val="right" w:leader="dot" w:pos="8630"/>
            </w:tabs>
            <w:rPr>
              <w:rFonts w:hint="eastAsia" w:asciiTheme="minorHAnsi" w:hAnsiTheme="minorHAnsi" w:eastAsiaTheme="minorEastAsia" w:cstheme="minorBidi"/>
              <w:kern w:val="2"/>
              <w:sz w:val="21"/>
              <w:szCs w:val="22"/>
            </w:rPr>
          </w:pPr>
          <w:r>
            <w:fldChar w:fldCharType="begin"/>
          </w:r>
          <w:r>
            <w:instrText xml:space="preserve"> HYPERLINK \l "_Toc148450357" </w:instrText>
          </w:r>
          <w:r>
            <w:fldChar w:fldCharType="separate"/>
          </w:r>
          <w:r>
            <w:rPr>
              <w:rStyle w:val="16"/>
              <w:rFonts w:ascii="黑体" w:hAnsi="黑体" w:eastAsia="黑体" w:cs="黑体"/>
              <w:lang w:val="zh-CN"/>
            </w:rPr>
            <w:t>第二部分 202</w:t>
          </w:r>
          <w:r>
            <w:rPr>
              <w:rStyle w:val="16"/>
              <w:rFonts w:hint="eastAsia" w:ascii="黑体" w:hAnsi="黑体" w:eastAsia="黑体" w:cs="黑体"/>
            </w:rPr>
            <w:t>3</w:t>
          </w:r>
          <w:r>
            <w:rPr>
              <w:rStyle w:val="16"/>
              <w:rFonts w:ascii="黑体" w:hAnsi="黑体" w:eastAsia="黑体" w:cs="黑体"/>
              <w:lang w:val="zh-CN"/>
            </w:rPr>
            <w:t>年度单位决算情况说明</w:t>
          </w:r>
          <w:r>
            <w:tab/>
          </w:r>
          <w:r>
            <w:fldChar w:fldCharType="begin"/>
          </w:r>
          <w:r>
            <w:instrText xml:space="preserve"> PAGEREF _Toc148450357 \h </w:instrText>
          </w:r>
          <w:r>
            <w:fldChar w:fldCharType="separate"/>
          </w:r>
          <w:r>
            <w:t>5</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"_Toc148450358" </w:instrText>
          </w:r>
          <w:r>
            <w:fldChar w:fldCharType="separate"/>
          </w:r>
          <w:r>
            <w:rPr>
              <w:rStyle w:val="16"/>
              <w:rFonts w:ascii="黑体" w:hAnsi="黑体" w:eastAsia="黑体" w:cs="黑体"/>
              <w:lang w:val="zh-CN"/>
            </w:rPr>
            <w:t>一、收入支出决算总体情况说明</w:t>
          </w:r>
          <w:r>
            <w:tab/>
          </w:r>
          <w:r>
            <w:fldChar w:fldCharType="begin"/>
          </w:r>
          <w:r>
            <w:instrText xml:space="preserve"> PAGEREF _Toc148450358 \h </w:instrText>
          </w:r>
          <w:r>
            <w:fldChar w:fldCharType="separate"/>
          </w:r>
          <w:r>
            <w:t>5</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"_Toc148450359" </w:instrText>
          </w:r>
          <w:r>
            <w:fldChar w:fldCharType="separate"/>
          </w:r>
          <w:r>
            <w:rPr>
              <w:rStyle w:val="16"/>
              <w:rFonts w:ascii="黑体" w:hAnsi="黑体" w:eastAsia="黑体" w:cs="黑体"/>
              <w:lang w:val="zh-CN"/>
            </w:rPr>
            <w:t>二、收入决算情况说明</w:t>
          </w:r>
          <w:r>
            <w:tab/>
          </w:r>
          <w:r>
            <w:fldChar w:fldCharType="begin"/>
          </w:r>
          <w:r>
            <w:instrText xml:space="preserve"> PAGEREF _Toc148450359 \h </w:instrText>
          </w:r>
          <w:r>
            <w:fldChar w:fldCharType="separate"/>
          </w:r>
          <w:r>
            <w:t>5</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"_Toc148450360" </w:instrText>
          </w:r>
          <w:r>
            <w:fldChar w:fldCharType="separate"/>
          </w:r>
          <w:r>
            <w:rPr>
              <w:rStyle w:val="16"/>
              <w:rFonts w:ascii="黑体" w:hAnsi="黑体" w:eastAsia="黑体" w:cs="黑体"/>
              <w:lang w:val="zh-CN"/>
            </w:rPr>
            <w:t>三、支出决算情况说明</w:t>
          </w:r>
          <w:r>
            <w:tab/>
          </w:r>
          <w:r>
            <w:fldChar w:fldCharType="begin"/>
          </w:r>
          <w:r>
            <w:instrText xml:space="preserve"> PAGEREF _Toc148450360 \h </w:instrText>
          </w:r>
          <w:r>
            <w:fldChar w:fldCharType="separate"/>
          </w:r>
          <w:r>
            <w:t>6</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"_Toc148450361" </w:instrText>
          </w:r>
          <w:r>
            <w:fldChar w:fldCharType="separate"/>
          </w:r>
          <w:r>
            <w:rPr>
              <w:rStyle w:val="16"/>
              <w:rFonts w:ascii="黑体" w:hAnsi="黑体" w:eastAsia="黑体" w:cs="黑体"/>
              <w:lang w:val="zh-CN"/>
            </w:rPr>
            <w:t>四、财政拨款收入支出决算总体情况说明</w:t>
          </w:r>
          <w:r>
            <w:tab/>
          </w:r>
          <w:r>
            <w:fldChar w:fldCharType="begin"/>
          </w:r>
          <w:r>
            <w:instrText xml:space="preserve"> PAGEREF _Toc148450361 \h </w:instrText>
          </w:r>
          <w:r>
            <w:fldChar w:fldCharType="separate"/>
          </w:r>
          <w:r>
            <w:t>6</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"_Toc148450362" </w:instrText>
          </w:r>
          <w:r>
            <w:fldChar w:fldCharType="separate"/>
          </w:r>
          <w:r>
            <w:rPr>
              <w:rStyle w:val="16"/>
              <w:rFonts w:ascii="黑体" w:hAnsi="黑体" w:eastAsia="黑体" w:cs="黑体"/>
              <w:lang w:val="zh-CN"/>
            </w:rPr>
            <w:t>五、一般公共预算财政拨款支出决算情况说明</w:t>
          </w:r>
          <w:r>
            <w:tab/>
          </w:r>
          <w:r>
            <w:fldChar w:fldCharType="begin"/>
          </w:r>
          <w:r>
            <w:instrText xml:space="preserve"> PAGEREF _Toc148450362 \h </w:instrText>
          </w:r>
          <w:r>
            <w:fldChar w:fldCharType="separate"/>
          </w:r>
          <w:r>
            <w:t>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"_Toc148450363" </w:instrText>
          </w:r>
          <w:r>
            <w:fldChar w:fldCharType="separate"/>
          </w:r>
          <w:r>
            <w:rPr>
              <w:rStyle w:val="16"/>
              <w:rFonts w:ascii="黑体" w:hAnsi="黑体" w:eastAsia="黑体" w:cs="黑体"/>
              <w:lang w:val="zh-CN"/>
            </w:rPr>
            <w:t>六、一般公共预算财政拨款基本支出决算情况说明</w:t>
          </w:r>
          <w:r>
            <w:tab/>
          </w:r>
          <w:r>
            <w:fldChar w:fldCharType="begin"/>
          </w:r>
          <w:r>
            <w:instrText xml:space="preserve"> PAGEREF _Toc148450363 \h </w:instrText>
          </w:r>
          <w:r>
            <w:fldChar w:fldCharType="separate"/>
          </w:r>
          <w:r>
            <w:t>11</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"_Toc148450364" </w:instrText>
          </w:r>
          <w:r>
            <w:fldChar w:fldCharType="separate"/>
          </w:r>
          <w:r>
            <w:rPr>
              <w:rStyle w:val="16"/>
              <w:rFonts w:ascii="黑体" w:hAnsi="黑体" w:eastAsia="黑体" w:cs="黑体"/>
              <w:lang w:val="zh-CN"/>
            </w:rPr>
            <w:t>七、财政拨款“三公”经费支出决算情况说明</w:t>
          </w:r>
          <w:r>
            <w:tab/>
          </w:r>
          <w:r>
            <w:fldChar w:fldCharType="begin"/>
          </w:r>
          <w:r>
            <w:instrText xml:space="preserve"> PAGEREF _Toc148450364 \h </w:instrText>
          </w:r>
          <w:r>
            <w:fldChar w:fldCharType="separate"/>
          </w:r>
          <w:r>
            <w:t>11</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"_Toc148450365" </w:instrText>
          </w:r>
          <w:r>
            <w:fldChar w:fldCharType="separate"/>
          </w:r>
          <w:r>
            <w:rPr>
              <w:rStyle w:val="16"/>
              <w:rFonts w:ascii="黑体" w:hAnsi="黑体" w:eastAsia="黑体" w:cs="黑体"/>
              <w:lang w:val="zh-CN"/>
            </w:rPr>
            <w:t>八、政府性基金预算支出决算情况说明</w:t>
          </w:r>
          <w:r>
            <w:tab/>
          </w:r>
          <w:r>
            <w:fldChar w:fldCharType="begin"/>
          </w:r>
          <w:r>
            <w:instrText xml:space="preserve"> PAGEREF _Toc148450365 \h </w:instrText>
          </w:r>
          <w:r>
            <w:fldChar w:fldCharType="separate"/>
          </w:r>
          <w:r>
            <w:t>13</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"_Toc148450366" </w:instrText>
          </w:r>
          <w:r>
            <w:fldChar w:fldCharType="separate"/>
          </w:r>
          <w:r>
            <w:rPr>
              <w:rStyle w:val="16"/>
              <w:rFonts w:ascii="黑体" w:hAnsi="黑体" w:eastAsia="黑体" w:cs="黑体"/>
              <w:lang w:val="zh-CN"/>
            </w:rPr>
            <w:t>九、国有资本经营预算支出决算情况说明</w:t>
          </w:r>
          <w:r>
            <w:tab/>
          </w:r>
          <w:r>
            <w:fldChar w:fldCharType="begin"/>
          </w:r>
          <w:r>
            <w:instrText xml:space="preserve"> PAGEREF _Toc148450366 \h </w:instrText>
          </w:r>
          <w:r>
            <w:fldChar w:fldCharType="separate"/>
          </w:r>
          <w:r>
            <w:t>13</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"_Toc148450367" </w:instrText>
          </w:r>
          <w:r>
            <w:fldChar w:fldCharType="separate"/>
          </w:r>
          <w:r>
            <w:rPr>
              <w:rStyle w:val="16"/>
              <w:rFonts w:ascii="黑体" w:hAnsi="黑体" w:eastAsia="黑体" w:cs="黑体"/>
              <w:lang w:val="zh-CN"/>
            </w:rPr>
            <w:t>十、其他重要事项的情况说明</w:t>
          </w:r>
          <w:r>
            <w:tab/>
          </w:r>
          <w:r>
            <w:fldChar w:fldCharType="begin"/>
          </w:r>
          <w:r>
            <w:instrText xml:space="preserve"> PAGEREF _Toc148450367 \h </w:instrText>
          </w:r>
          <w:r>
            <w:fldChar w:fldCharType="separate"/>
          </w:r>
          <w:r>
            <w:t>13</w:t>
          </w:r>
          <w:r>
            <w:fldChar w:fldCharType="end"/>
          </w:r>
          <w:r>
            <w:fldChar w:fldCharType="end"/>
          </w:r>
        </w:p>
        <w:p>
          <w:pPr>
            <w:pStyle w:val="12"/>
            <w:tabs>
              <w:tab w:val="right" w:leader="dot" w:pos="8630"/>
            </w:tabs>
            <w:rPr>
              <w:rFonts w:hint="eastAsia" w:asciiTheme="minorHAnsi" w:hAnsiTheme="minorHAnsi" w:eastAsiaTheme="minorEastAsia" w:cstheme="minorBidi"/>
              <w:kern w:val="2"/>
              <w:sz w:val="21"/>
              <w:szCs w:val="22"/>
            </w:rPr>
          </w:pPr>
          <w:r>
            <w:fldChar w:fldCharType="begin"/>
          </w:r>
          <w:r>
            <w:instrText xml:space="preserve"> HYPERLINK \l "_Toc148450368" </w:instrText>
          </w:r>
          <w:r>
            <w:fldChar w:fldCharType="separate"/>
          </w:r>
          <w:r>
            <w:rPr>
              <w:rStyle w:val="16"/>
              <w:rFonts w:ascii="黑体" w:hAnsi="黑体" w:eastAsia="黑体" w:cs="黑体"/>
              <w:lang w:val="zh-CN"/>
            </w:rPr>
            <w:t>第三部分 名词解释</w:t>
          </w:r>
          <w:r>
            <w:tab/>
          </w:r>
          <w:r>
            <w:fldChar w:fldCharType="begin"/>
          </w:r>
          <w:r>
            <w:instrText xml:space="preserve"> PAGEREF _Toc148450368 \h </w:instrText>
          </w:r>
          <w:r>
            <w:fldChar w:fldCharType="separate"/>
          </w:r>
          <w:r>
            <w:t>15</w:t>
          </w:r>
          <w:r>
            <w:fldChar w:fldCharType="end"/>
          </w:r>
          <w:r>
            <w:fldChar w:fldCharType="end"/>
          </w:r>
        </w:p>
        <w:p>
          <w:pPr>
            <w:pStyle w:val="12"/>
            <w:tabs>
              <w:tab w:val="right" w:leader="dot" w:pos="8630"/>
            </w:tabs>
            <w:rPr>
              <w:rFonts w:hint="eastAsia" w:asciiTheme="minorHAnsi" w:hAnsiTheme="minorHAnsi" w:eastAsiaTheme="minorEastAsia" w:cstheme="minorBidi"/>
              <w:kern w:val="2"/>
              <w:sz w:val="21"/>
              <w:szCs w:val="22"/>
            </w:rPr>
          </w:pPr>
          <w:r>
            <w:fldChar w:fldCharType="begin"/>
          </w:r>
          <w:r>
            <w:instrText xml:space="preserve"> HYPERLINK \l "_Toc148450369" </w:instrText>
          </w:r>
          <w:r>
            <w:fldChar w:fldCharType="separate"/>
          </w:r>
          <w:r>
            <w:rPr>
              <w:rStyle w:val="16"/>
              <w:rFonts w:ascii="黑体" w:hAnsi="黑体" w:eastAsia="黑体" w:cs="黑体"/>
              <w:lang w:val="zh-CN"/>
            </w:rPr>
            <w:t>第四部分 附件</w:t>
          </w:r>
          <w:r>
            <w:tab/>
          </w:r>
          <w:r>
            <w:fldChar w:fldCharType="begin"/>
          </w:r>
          <w:r>
            <w:instrText xml:space="preserve"> PAGEREF _Toc148450369 \h </w:instrText>
          </w:r>
          <w:r>
            <w:fldChar w:fldCharType="separate"/>
          </w:r>
          <w:r>
            <w:t>18</w:t>
          </w:r>
          <w:r>
            <w:fldChar w:fldCharType="end"/>
          </w:r>
          <w:r>
            <w:fldChar w:fldCharType="end"/>
          </w:r>
        </w:p>
        <w:p>
          <w:pPr>
            <w:pStyle w:val="12"/>
            <w:tabs>
              <w:tab w:val="right" w:leader="dot" w:pos="8630"/>
            </w:tabs>
            <w:rPr>
              <w:rFonts w:hint="eastAsia" w:asciiTheme="minorHAnsi" w:hAnsiTheme="minorHAnsi" w:eastAsiaTheme="minorEastAsia" w:cstheme="minorBidi"/>
              <w:kern w:val="2"/>
              <w:sz w:val="21"/>
              <w:szCs w:val="22"/>
            </w:rPr>
          </w:pPr>
          <w:r>
            <w:fldChar w:fldCharType="begin"/>
          </w:r>
          <w:r>
            <w:instrText xml:space="preserve"> HYPERLINK \l "_Toc148450370" </w:instrText>
          </w:r>
          <w:r>
            <w:fldChar w:fldCharType="separate"/>
          </w:r>
          <w:r>
            <w:rPr>
              <w:rStyle w:val="16"/>
              <w:rFonts w:ascii="黑体" w:hAnsi="黑体" w:eastAsia="黑体" w:cs="黑体"/>
              <w:lang w:val="zh-CN"/>
            </w:rPr>
            <w:t>第五部分 附表</w:t>
          </w:r>
          <w:r>
            <w:tab/>
          </w:r>
          <w:r>
            <w:fldChar w:fldCharType="begin"/>
          </w:r>
          <w:r>
            <w:instrText xml:space="preserve"> PAGEREF _Toc148450370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"_Toc148450371" </w:instrText>
          </w:r>
          <w:r>
            <w:fldChar w:fldCharType="separate"/>
          </w:r>
          <w:r>
            <w:rPr>
              <w:rStyle w:val="16"/>
              <w:rFonts w:ascii="仿宋" w:hAnsi="仿宋" w:eastAsia="仿宋" w:cs="黑体"/>
            </w:rPr>
            <w:t>一、收入支出决算总表</w:t>
          </w:r>
          <w:r>
            <w:tab/>
          </w:r>
          <w:r>
            <w:fldChar w:fldCharType="begin"/>
          </w:r>
          <w:r>
            <w:instrText xml:space="preserve"> PAGEREF _Toc148450371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"_Toc148450372" </w:instrText>
          </w:r>
          <w:r>
            <w:fldChar w:fldCharType="separate"/>
          </w:r>
          <w:r>
            <w:rPr>
              <w:rStyle w:val="16"/>
              <w:rFonts w:ascii="仿宋" w:hAnsi="仿宋" w:eastAsia="仿宋" w:cs="黑体"/>
            </w:rPr>
            <w:t>二、收入决算表</w:t>
          </w:r>
          <w:r>
            <w:tab/>
          </w:r>
          <w:r>
            <w:fldChar w:fldCharType="begin"/>
          </w:r>
          <w:r>
            <w:instrText xml:space="preserve"> PAGEREF _Toc148450372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"_Toc148450373" </w:instrText>
          </w:r>
          <w:r>
            <w:fldChar w:fldCharType="separate"/>
          </w:r>
          <w:r>
            <w:rPr>
              <w:rStyle w:val="16"/>
              <w:rFonts w:ascii="仿宋" w:hAnsi="仿宋" w:eastAsia="仿宋" w:cs="黑体"/>
            </w:rPr>
            <w:t>三、支出决算表</w:t>
          </w:r>
          <w:r>
            <w:tab/>
          </w:r>
          <w:r>
            <w:fldChar w:fldCharType="begin"/>
          </w:r>
          <w:r>
            <w:instrText xml:space="preserve"> PAGEREF _Toc148450373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"_Toc148450374" </w:instrText>
          </w:r>
          <w:r>
            <w:fldChar w:fldCharType="separate"/>
          </w:r>
          <w:r>
            <w:rPr>
              <w:rStyle w:val="16"/>
              <w:rFonts w:ascii="仿宋" w:hAnsi="仿宋" w:eastAsia="仿宋" w:cs="黑体"/>
            </w:rPr>
            <w:t>四、财政拨款收入支出决算总表</w:t>
          </w:r>
          <w:r>
            <w:tab/>
          </w:r>
          <w:r>
            <w:fldChar w:fldCharType="begin"/>
          </w:r>
          <w:r>
            <w:instrText xml:space="preserve"> PAGEREF _Toc148450374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"_Toc148450375" </w:instrText>
          </w:r>
          <w:r>
            <w:fldChar w:fldCharType="separate"/>
          </w:r>
          <w:r>
            <w:rPr>
              <w:rStyle w:val="16"/>
              <w:rFonts w:ascii="仿宋" w:hAnsi="仿宋" w:eastAsia="仿宋" w:cs="黑体"/>
            </w:rPr>
            <w:t>五、财政拨款支出决算明细表</w:t>
          </w:r>
          <w:r>
            <w:tab/>
          </w:r>
          <w:r>
            <w:fldChar w:fldCharType="begin"/>
          </w:r>
          <w:r>
            <w:instrText xml:space="preserve"> PAGEREF _Toc148450375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"_Toc148450376" </w:instrText>
          </w:r>
          <w:r>
            <w:fldChar w:fldCharType="separate"/>
          </w:r>
          <w:r>
            <w:rPr>
              <w:rStyle w:val="16"/>
              <w:rFonts w:ascii="仿宋" w:hAnsi="仿宋" w:eastAsia="仿宋" w:cs="黑体"/>
            </w:rPr>
            <w:t>六、一般公共预算财政拨款支出决算表</w:t>
          </w:r>
          <w:r>
            <w:tab/>
          </w:r>
          <w:r>
            <w:fldChar w:fldCharType="begin"/>
          </w:r>
          <w:r>
            <w:instrText xml:space="preserve"> PAGEREF _Toc148450376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"_Toc148450377" </w:instrText>
          </w:r>
          <w:r>
            <w:fldChar w:fldCharType="separate"/>
          </w:r>
          <w:r>
            <w:rPr>
              <w:rStyle w:val="16"/>
              <w:rFonts w:ascii="仿宋" w:hAnsi="仿宋" w:eastAsia="仿宋" w:cs="黑体"/>
            </w:rPr>
            <w:t>七、一般公共预算财政拨款支出决算明细表</w:t>
          </w:r>
          <w:r>
            <w:tab/>
          </w:r>
          <w:r>
            <w:fldChar w:fldCharType="begin"/>
          </w:r>
          <w:r>
            <w:instrText xml:space="preserve"> PAGEREF _Toc148450377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"_Toc148450378" </w:instrText>
          </w:r>
          <w:r>
            <w:fldChar w:fldCharType="separate"/>
          </w:r>
          <w:r>
            <w:rPr>
              <w:rStyle w:val="16"/>
              <w:rFonts w:ascii="仿宋" w:hAnsi="仿宋" w:eastAsia="仿宋" w:cs="黑体"/>
            </w:rPr>
            <w:t>八、一般公共预算财政拨款基本支出决算</w:t>
          </w:r>
          <w:r>
            <w:rPr>
              <w:rStyle w:val="16"/>
              <w:rFonts w:hint="eastAsia" w:ascii="仿宋" w:hAnsi="仿宋" w:eastAsia="仿宋" w:cs="黑体"/>
            </w:rPr>
            <w:t>明细</w:t>
          </w:r>
          <w:r>
            <w:rPr>
              <w:rStyle w:val="16"/>
              <w:rFonts w:ascii="仿宋" w:hAnsi="仿宋" w:eastAsia="仿宋" w:cs="黑体"/>
            </w:rPr>
            <w:t>表</w:t>
          </w:r>
          <w:r>
            <w:tab/>
          </w:r>
          <w:r>
            <w:fldChar w:fldCharType="begin"/>
          </w:r>
          <w:r>
            <w:instrText xml:space="preserve"> PAGEREF _Toc148450378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"_Toc148450379" </w:instrText>
          </w:r>
          <w:r>
            <w:fldChar w:fldCharType="separate"/>
          </w:r>
          <w:r>
            <w:rPr>
              <w:rStyle w:val="16"/>
              <w:rFonts w:ascii="仿宋" w:hAnsi="仿宋" w:eastAsia="仿宋" w:cs="黑体"/>
            </w:rPr>
            <w:t>九、一般公共预算财政拨款项目支出决算表</w:t>
          </w:r>
          <w:r>
            <w:tab/>
          </w:r>
          <w:r>
            <w:fldChar w:fldCharType="begin"/>
          </w:r>
          <w:r>
            <w:instrText xml:space="preserve"> PAGEREF _Toc148450379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"_Toc148450380" </w:instrText>
          </w:r>
          <w:r>
            <w:fldChar w:fldCharType="separate"/>
          </w:r>
          <w:r>
            <w:rPr>
              <w:rStyle w:val="16"/>
              <w:rFonts w:ascii="仿宋" w:hAnsi="仿宋" w:eastAsia="仿宋" w:cs="黑体"/>
            </w:rPr>
            <w:t>十、政府性基金预算财政拨款收入支出决算表</w:t>
          </w:r>
          <w:r>
            <w:tab/>
          </w:r>
          <w:r>
            <w:fldChar w:fldCharType="begin"/>
          </w:r>
          <w:r>
            <w:instrText xml:space="preserve"> PAGEREF _Toc148450380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"_Toc148450381" </w:instrText>
          </w:r>
          <w:r>
            <w:fldChar w:fldCharType="separate"/>
          </w:r>
          <w:r>
            <w:rPr>
              <w:rStyle w:val="16"/>
              <w:rFonts w:ascii="仿宋" w:hAnsi="仿宋" w:eastAsia="仿宋" w:cs="黑体"/>
            </w:rPr>
            <w:t>十一、国有资本经营预算财政拨款收入支出决算表</w:t>
          </w:r>
          <w:r>
            <w:tab/>
          </w:r>
          <w:r>
            <w:fldChar w:fldCharType="begin"/>
          </w:r>
          <w:r>
            <w:instrText xml:space="preserve"> PAGEREF _Toc148450381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"_Toc148450382" </w:instrText>
          </w:r>
          <w:r>
            <w:fldChar w:fldCharType="separate"/>
          </w:r>
          <w:r>
            <w:rPr>
              <w:rStyle w:val="16"/>
              <w:rFonts w:ascii="仿宋" w:hAnsi="仿宋" w:eastAsia="仿宋" w:cs="黑体"/>
            </w:rPr>
            <w:t>十二、国有资本经营预算财政拨款支出决算表</w:t>
          </w:r>
          <w:r>
            <w:tab/>
          </w:r>
          <w:r>
            <w:fldChar w:fldCharType="begin"/>
          </w:r>
          <w:r>
            <w:instrText xml:space="preserve"> PAGEREF _Toc148450382 \h </w:instrText>
          </w:r>
          <w:r>
            <w:fldChar w:fldCharType="separate"/>
          </w:r>
          <w:r>
            <w:t>27</w:t>
          </w:r>
          <w:r>
            <w:fldChar w:fldCharType="end"/>
          </w:r>
          <w:r>
            <w:fldChar w:fldCharType="end"/>
          </w:r>
        </w:p>
        <w:p>
          <w:pPr>
            <w:pStyle w:val="14"/>
            <w:tabs>
              <w:tab w:val="right" w:leader="dot" w:pos="8630"/>
            </w:tabs>
            <w:ind w:left="480"/>
            <w:rPr>
              <w:rFonts w:hint="eastAsia" w:asciiTheme="minorHAnsi" w:hAnsiTheme="minorHAnsi" w:eastAsiaTheme="minorEastAsia" w:cstheme="minorBidi"/>
              <w:kern w:val="2"/>
              <w:sz w:val="21"/>
              <w:szCs w:val="22"/>
            </w:rPr>
          </w:pPr>
          <w:r>
            <w:fldChar w:fldCharType="begin"/>
          </w:r>
          <w:r>
            <w:instrText xml:space="preserve"> HYPERLINK \l "_Toc148450383" </w:instrText>
          </w:r>
          <w:r>
            <w:fldChar w:fldCharType="separate"/>
          </w:r>
          <w:r>
            <w:rPr>
              <w:rStyle w:val="16"/>
              <w:rFonts w:ascii="仿宋" w:hAnsi="仿宋" w:eastAsia="仿宋" w:cs="黑体"/>
            </w:rPr>
            <w:t>十三、财政拨款“三公”经费支出决算表</w:t>
          </w:r>
          <w:r>
            <w:tab/>
          </w:r>
          <w:r>
            <w:fldChar w:fldCharType="begin"/>
          </w:r>
          <w:r>
            <w:instrText xml:space="preserve"> PAGEREF _Toc148450383 \h </w:instrText>
          </w:r>
          <w:r>
            <w:fldChar w:fldCharType="separate"/>
          </w:r>
          <w:r>
            <w:t>27</w:t>
          </w:r>
          <w:r>
            <w:fldChar w:fldCharType="end"/>
          </w:r>
          <w:r>
            <w:fldChar w:fldCharType="end"/>
          </w:r>
        </w:p>
        <w:p>
          <w:r>
            <w:rPr>
              <w:b/>
              <w:bCs/>
              <w:lang w:val="zh-CN"/>
            </w:rPr>
            <w:fldChar w:fldCharType="end"/>
          </w:r>
        </w:p>
      </w:sdtContent>
    </w:sdt>
    <w:p>
      <w:pPr>
        <w:widowControl/>
        <w:autoSpaceDE/>
        <w:autoSpaceDN/>
        <w:adjustRightInd/>
        <w:rPr>
          <w:rFonts w:hint="eastAsia" w:ascii="黑体" w:hAnsi="黑体" w:eastAsia="黑体" w:cs="黑体"/>
          <w:sz w:val="44"/>
          <w:szCs w:val="44"/>
          <w:lang w:val="zh-CN"/>
        </w:rPr>
        <w:sectPr>
          <w:headerReference r:id="rId5" w:type="first"/>
          <w:footerReference r:id="rId8" w:type="first"/>
          <w:headerReference r:id="rId3" w:type="default"/>
          <w:footerReference r:id="rId6" w:type="default"/>
          <w:headerReference r:id="rId4" w:type="even"/>
          <w:footerReference r:id="rId7" w:type="even"/>
          <w:pgSz w:w="12240" w:h="15840"/>
          <w:pgMar w:top="1440" w:right="1800" w:bottom="1440" w:left="1800" w:header="720" w:footer="720" w:gutter="0"/>
          <w:cols w:space="720" w:num="1"/>
        </w:sectPr>
      </w:pPr>
      <w:bookmarkStart w:id="0" w:name="_Toc148450354"/>
    </w:p>
    <w:p>
      <w:pPr>
        <w:widowControl/>
        <w:autoSpaceDE/>
        <w:autoSpaceDN/>
        <w:adjustRightInd/>
        <w:jc w:val="center"/>
        <w:rPr>
          <w:rFonts w:hint="eastAsia" w:ascii="黑体" w:hAnsi="黑体" w:eastAsia="黑体" w:cs="黑体"/>
          <w:sz w:val="44"/>
          <w:szCs w:val="44"/>
          <w:lang w:val="zh-CN"/>
        </w:rPr>
      </w:pPr>
      <w:r>
        <w:rPr>
          <w:rFonts w:hint="eastAsia" w:ascii="黑体" w:hAnsi="黑体" w:eastAsia="黑体" w:cs="黑体"/>
          <w:sz w:val="44"/>
          <w:szCs w:val="44"/>
          <w:lang w:val="zh-CN"/>
        </w:rPr>
        <w:t>第一部分</w:t>
      </w:r>
      <w:r>
        <w:rPr>
          <w:rFonts w:ascii="黑体" w:hAnsi="黑体" w:eastAsia="黑体" w:cs="黑体"/>
          <w:sz w:val="44"/>
          <w:szCs w:val="44"/>
          <w:lang w:val="zh-CN"/>
        </w:rPr>
        <w:t xml:space="preserve"> </w:t>
      </w:r>
      <w:r>
        <w:rPr>
          <w:rFonts w:hint="eastAsia" w:ascii="黑体" w:hAnsi="黑体" w:eastAsia="黑体" w:cs="黑体"/>
          <w:sz w:val="44"/>
          <w:szCs w:val="44"/>
          <w:lang w:val="zh-CN"/>
        </w:rPr>
        <w:t>单位概况</w:t>
      </w:r>
      <w:bookmarkEnd w:id="0"/>
    </w:p>
    <w:p>
      <w:pPr>
        <w:pStyle w:val="4"/>
        <w:spacing w:line="576" w:lineRule="exact"/>
        <w:ind w:firstLine="640" w:firstLineChars="200"/>
        <w:rPr>
          <w:rFonts w:hint="eastAsia" w:ascii="黑体" w:hAnsi="黑体" w:eastAsia="黑体" w:cs="黑体"/>
          <w:sz w:val="32"/>
          <w:szCs w:val="32"/>
          <w:lang w:val="zh-CN"/>
        </w:rPr>
      </w:pPr>
      <w:bookmarkStart w:id="1" w:name="_Toc148450355"/>
      <w:r>
        <w:rPr>
          <w:rFonts w:hint="eastAsia" w:ascii="黑体" w:hAnsi="黑体" w:eastAsia="黑体" w:cs="黑体"/>
          <w:sz w:val="32"/>
          <w:szCs w:val="32"/>
          <w:lang w:val="zh-CN"/>
        </w:rPr>
        <w:t>一、主要职责</w:t>
      </w:r>
      <w:bookmarkEnd w:id="1"/>
    </w:p>
    <w:p>
      <w:pPr>
        <w:autoSpaceDN/>
        <w:spacing w:line="578" w:lineRule="exact"/>
        <w:ind w:firstLine="640" w:firstLineChars="200"/>
        <w:rPr>
          <w:rFonts w:eastAsia="仿宋_GB2312"/>
          <w:color w:val="000000"/>
          <w:sz w:val="32"/>
          <w:szCs w:val="32"/>
        </w:rPr>
      </w:pPr>
      <w:bookmarkStart w:id="2" w:name="_Toc148450356"/>
      <w:r>
        <w:rPr>
          <w:rFonts w:hint="eastAsia" w:eastAsia="仿宋_GB2312"/>
          <w:color w:val="000000"/>
          <w:sz w:val="32"/>
          <w:szCs w:val="32"/>
        </w:rPr>
        <w:t>1</w:t>
      </w:r>
      <w:r>
        <w:rPr>
          <w:rFonts w:eastAsia="仿宋_GB2312"/>
          <w:color w:val="000000"/>
          <w:sz w:val="32"/>
          <w:szCs w:val="32"/>
        </w:rPr>
        <w:t>．宣传和贯彻执行党的路线方针政策和党中央、上级党组织及本镇党员代表大会（党员大会）的决议。</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2．讨论和决定本镇经济建设、政治建设、文化建设、社会建设、生态文明建设和党的建设以及乡村振兴中的重大问题。需由镇政权机关或者集体经济组织决定的重要事项，经镇党委研究讨论后，由镇政权机关或者集体经济组织依照法律和有关规定作出决定。</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3．领导镇政权机关、群团组织和其他各类组织，加强指导和规范，支持和保证镇各类机关组织依照国家法律法规以及各自章程履行职责。</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4．加强镇党委自身建设和村（社区）党组织建设，抓好发展党员工作，加强党员队伍建设。加强意识形态阵地以及队伍建设。维护和执行党的纪律，监督党员干部和其他工作人员严格遵守国家法律法规。落实管党治党责任，不断提高党的建设质量，推动全面从严治党向基层延伸。</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5．按照干部管理权限，负责对干部的教育、培训、选拔、考核和监督工作。做好人才服务和引进工作。</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6．领导本镇的基层治理，加强社会主义民主法治建设和精神文明建设，加强社会治安综合治理，接待群众来信来访、反映社情民意、化解矛盾纠纷，做好应急管理、安全生产、消防安全、生态</w:t>
      </w:r>
      <w:r>
        <w:rPr>
          <w:rFonts w:hint="eastAsia" w:eastAsia="仿宋_GB2312"/>
          <w:color w:val="000000"/>
          <w:sz w:val="32"/>
          <w:szCs w:val="32"/>
          <w:lang w:eastAsia="zh-CN"/>
        </w:rPr>
        <w:t>环境</w:t>
      </w:r>
      <w:r>
        <w:rPr>
          <w:rFonts w:eastAsia="仿宋_GB2312"/>
          <w:color w:val="000000"/>
          <w:sz w:val="32"/>
          <w:szCs w:val="32"/>
        </w:rPr>
        <w:t>、美丽乡村建设、民生保障、脱贫致富、民族宗教等工作。</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7．执行本级人民代表大会的决议和上级国家行政机关的决定和命令，发布决定和命令。</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8．执行本行政区域内的经济和社会发展计划、预算，管理本行政区域内的经济、教育、科技、文化、卫生健康、体育事业和财政、民政、公安、司法等行政工作。</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9．监督执法管理。对辖区内各类行政执法工作进行统筹协调，组织开展群众监督和社会监督。</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10．组织公共服务。组织实施与村（居）民生活密切相关的各项公共服务事项，落实人力资源</w:t>
      </w:r>
      <w:r>
        <w:rPr>
          <w:rFonts w:hint="eastAsia" w:eastAsia="仿宋_GB2312"/>
          <w:color w:val="000000"/>
          <w:sz w:val="32"/>
          <w:szCs w:val="32"/>
        </w:rPr>
        <w:t>和</w:t>
      </w:r>
      <w:r>
        <w:rPr>
          <w:rFonts w:eastAsia="仿宋_GB2312"/>
          <w:color w:val="000000"/>
          <w:sz w:val="32"/>
          <w:szCs w:val="32"/>
        </w:rPr>
        <w:t>社会保障、民政、教育、科技、文化、体育、卫生健康、退役军人事务等领域相关法规政策。</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11．保护社会主义全民所有的财产和劳动群众集体所有的财产，保护公民私人所有的合法财产，维护社会秩序，保障公民的人身权利、民主权利和其他权利。</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12．保护各种经济组织的合法权益。</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13．保障宪法和法律赋予妇女的男女平等、同工同酬和婚姻自由等各项权利。</w:t>
      </w:r>
      <w:r>
        <w:rPr>
          <w:rFonts w:eastAsia="仿宋_GB2312"/>
          <w:color w:val="000000"/>
          <w:sz w:val="32"/>
          <w:szCs w:val="32"/>
        </w:rPr>
        <w:br w:type="textWrapping"/>
      </w:r>
      <w:r>
        <w:rPr>
          <w:rFonts w:hint="eastAsia" w:eastAsia="仿宋_GB2312"/>
          <w:color w:val="000000"/>
          <w:sz w:val="32"/>
          <w:szCs w:val="32"/>
        </w:rPr>
        <w:t xml:space="preserve">    </w:t>
      </w:r>
      <w:r>
        <w:rPr>
          <w:rFonts w:eastAsia="仿宋_GB2312"/>
          <w:color w:val="000000"/>
          <w:sz w:val="32"/>
          <w:szCs w:val="32"/>
        </w:rPr>
        <w:t>14．完成县委、县政府交办的其他事项。</w:t>
      </w:r>
    </w:p>
    <w:p>
      <w:pPr>
        <w:pStyle w:val="4"/>
        <w:spacing w:line="576" w:lineRule="exact"/>
        <w:ind w:firstLine="640" w:firstLineChars="200"/>
        <w:rPr>
          <w:rFonts w:hint="eastAsia" w:ascii="黑体" w:hAnsi="黑体" w:eastAsia="黑体" w:cs="黑体"/>
          <w:sz w:val="32"/>
          <w:szCs w:val="32"/>
          <w:lang w:val="zh-CN"/>
        </w:rPr>
      </w:pPr>
      <w:r>
        <w:rPr>
          <w:rFonts w:hint="eastAsia" w:ascii="黑体" w:hAnsi="黑体" w:eastAsia="黑体" w:cs="黑体"/>
          <w:sz w:val="32"/>
          <w:szCs w:val="32"/>
          <w:lang w:val="zh-CN"/>
        </w:rPr>
        <w:t>二、机构设置</w:t>
      </w:r>
      <w:bookmarkEnd w:id="2"/>
    </w:p>
    <w:p>
      <w:pPr>
        <w:spacing w:line="576" w:lineRule="exact"/>
        <w:ind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lang w:val="zh-CN"/>
        </w:rPr>
        <w:t>泸县得胜镇人民政府</w:t>
      </w:r>
      <w:r>
        <w:rPr>
          <w:rFonts w:hint="eastAsia" w:ascii="仿宋_GB2312" w:hAnsi="仿宋_GB2312" w:eastAsia="仿宋_GB2312" w:cs="仿宋_GB2312"/>
          <w:kern w:val="2"/>
          <w:sz w:val="32"/>
          <w:szCs w:val="32"/>
        </w:rPr>
        <w:t>属一级预算单位，其中行政单位</w:t>
      </w:r>
      <w:r>
        <w:rPr>
          <w:rFonts w:ascii="仿宋_GB2312" w:hAnsi="仿宋_GB2312" w:eastAsia="仿宋_GB2312" w:cs="仿宋_GB2312"/>
          <w:kern w:val="2"/>
          <w:sz w:val="32"/>
          <w:szCs w:val="32"/>
        </w:rPr>
        <w:t>1</w:t>
      </w:r>
      <w:r>
        <w:rPr>
          <w:rFonts w:hint="eastAsia" w:ascii="仿宋_GB2312" w:hAnsi="仿宋_GB2312" w:eastAsia="仿宋_GB2312" w:cs="仿宋_GB2312"/>
          <w:kern w:val="2"/>
          <w:sz w:val="32"/>
          <w:szCs w:val="32"/>
        </w:rPr>
        <w:t>个，参照公务员法管理的事业单位</w:t>
      </w:r>
      <w:r>
        <w:rPr>
          <w:rFonts w:ascii="仿宋_GB2312" w:hAnsi="仿宋_GB2312" w:eastAsia="仿宋_GB2312" w:cs="仿宋_GB2312"/>
          <w:kern w:val="2"/>
          <w:sz w:val="32"/>
          <w:szCs w:val="32"/>
        </w:rPr>
        <w:t>0</w:t>
      </w:r>
      <w:r>
        <w:rPr>
          <w:rFonts w:hint="eastAsia" w:ascii="仿宋_GB2312" w:hAnsi="仿宋_GB2312" w:eastAsia="仿宋_GB2312" w:cs="仿宋_GB2312"/>
          <w:kern w:val="2"/>
          <w:sz w:val="32"/>
          <w:szCs w:val="32"/>
        </w:rPr>
        <w:t>个，其他事业单位</w:t>
      </w:r>
      <w:r>
        <w:rPr>
          <w:rFonts w:ascii="仿宋_GB2312" w:hAnsi="仿宋_GB2312" w:eastAsia="仿宋_GB2312" w:cs="仿宋_GB2312"/>
          <w:kern w:val="2"/>
          <w:sz w:val="32"/>
          <w:szCs w:val="32"/>
        </w:rPr>
        <w:t>0</w:t>
      </w:r>
      <w:r>
        <w:rPr>
          <w:rFonts w:hint="eastAsia" w:ascii="仿宋_GB2312" w:hAnsi="仿宋_GB2312" w:eastAsia="仿宋_GB2312" w:cs="仿宋_GB2312"/>
          <w:kern w:val="2"/>
          <w:sz w:val="32"/>
          <w:szCs w:val="32"/>
        </w:rPr>
        <w:t>个。</w:t>
      </w:r>
    </w:p>
    <w:p>
      <w:pPr>
        <w:pStyle w:val="6"/>
        <w:spacing w:before="72"/>
        <w:rPr>
          <w:lang w:val="zh-CN"/>
        </w:rPr>
      </w:pPr>
    </w:p>
    <w:p>
      <w:pPr>
        <w:pStyle w:val="3"/>
        <w:spacing w:line="576" w:lineRule="exact"/>
        <w:jc w:val="center"/>
        <w:rPr>
          <w:rFonts w:hint="eastAsia" w:ascii="黑体" w:hAnsi="黑体" w:eastAsia="黑体" w:cs="黑体"/>
          <w:sz w:val="44"/>
          <w:szCs w:val="44"/>
          <w:lang w:val="zh-CN"/>
        </w:rPr>
      </w:pPr>
      <w:bookmarkStart w:id="3" w:name="_Toc148450357"/>
      <w:r>
        <w:rPr>
          <w:rFonts w:hint="eastAsia" w:ascii="黑体" w:hAnsi="黑体" w:eastAsia="黑体" w:cs="黑体"/>
          <w:sz w:val="44"/>
          <w:szCs w:val="44"/>
          <w:lang w:val="zh-CN"/>
        </w:rPr>
        <w:t>第二部分</w:t>
      </w:r>
      <w:r>
        <w:rPr>
          <w:rFonts w:ascii="黑体" w:hAnsi="黑体" w:eastAsia="黑体" w:cs="黑体"/>
          <w:sz w:val="44"/>
          <w:szCs w:val="44"/>
          <w:lang w:val="zh-CN"/>
        </w:rPr>
        <w:t xml:space="preserve"> 202</w:t>
      </w:r>
      <w:r>
        <w:rPr>
          <w:rFonts w:hint="eastAsia" w:ascii="黑体" w:hAnsi="黑体" w:eastAsia="黑体" w:cs="黑体"/>
          <w:sz w:val="44"/>
          <w:szCs w:val="44"/>
        </w:rPr>
        <w:t>3</w:t>
      </w:r>
      <w:r>
        <w:rPr>
          <w:rFonts w:hint="eastAsia" w:ascii="黑体" w:hAnsi="黑体" w:eastAsia="黑体" w:cs="黑体"/>
          <w:sz w:val="44"/>
          <w:szCs w:val="44"/>
          <w:lang w:val="zh-CN"/>
        </w:rPr>
        <w:t>年度单位决算情况说明</w:t>
      </w:r>
      <w:bookmarkEnd w:id="3"/>
    </w:p>
    <w:p>
      <w:pPr>
        <w:pStyle w:val="4"/>
        <w:spacing w:line="576" w:lineRule="exact"/>
        <w:ind w:firstLine="640" w:firstLineChars="200"/>
        <w:rPr>
          <w:rFonts w:hint="eastAsia" w:ascii="黑体" w:hAnsi="黑体" w:eastAsia="黑体" w:cs="黑体"/>
          <w:sz w:val="32"/>
          <w:szCs w:val="32"/>
          <w:lang w:val="zh-CN"/>
        </w:rPr>
      </w:pPr>
      <w:r>
        <w:rPr>
          <w:rFonts w:ascii="黑体" w:hAnsi="黑体" w:eastAsia="黑体" w:cs="黑体"/>
          <w:sz w:val="32"/>
          <w:szCs w:val="32"/>
          <w:lang w:val="zh-CN"/>
        </w:rPr>
        <w:t xml:space="preserve"> </w:t>
      </w:r>
      <w:bookmarkStart w:id="4" w:name="_Toc148450358"/>
      <w:r>
        <w:rPr>
          <w:rFonts w:hint="eastAsia" w:ascii="黑体" w:hAnsi="黑体" w:eastAsia="黑体" w:cs="黑体"/>
          <w:sz w:val="32"/>
          <w:szCs w:val="32"/>
          <w:lang w:val="zh-CN"/>
        </w:rPr>
        <w:t>一、收入支出决算总体情况说明</w:t>
      </w:r>
      <w:bookmarkEnd w:id="4"/>
    </w:p>
    <w:p>
      <w:pPr>
        <w:keepNext/>
        <w:keepLines/>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年度收、支总计4382.01万元。与</w:t>
      </w: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2</w:t>
      </w:r>
      <w:r>
        <w:rPr>
          <w:rFonts w:hint="eastAsia" w:ascii="仿宋_GB2312" w:hAnsi="仿宋_GB2312" w:eastAsia="仿宋_GB2312" w:cs="仿宋_GB2312"/>
          <w:color w:val="000000"/>
          <w:kern w:val="2"/>
          <w:sz w:val="32"/>
          <w:szCs w:val="32"/>
          <w:lang w:val="zh-CN"/>
        </w:rPr>
        <w:t>年度相比，收、支总计各增加</w:t>
      </w:r>
      <w:r>
        <w:rPr>
          <w:rFonts w:hint="eastAsia" w:ascii="仿宋_GB2312" w:hAnsi="仿宋_GB2312" w:eastAsia="仿宋_GB2312" w:cs="仿宋_GB2312"/>
          <w:color w:val="000000"/>
          <w:kern w:val="2"/>
          <w:sz w:val="32"/>
          <w:szCs w:val="32"/>
        </w:rPr>
        <w:t>417.24</w:t>
      </w:r>
      <w:r>
        <w:rPr>
          <w:rFonts w:hint="eastAsia" w:ascii="仿宋_GB2312" w:hAnsi="仿宋_GB2312" w:eastAsia="仿宋_GB2312" w:cs="仿宋_GB2312"/>
          <w:color w:val="000000"/>
          <w:kern w:val="2"/>
          <w:sz w:val="32"/>
          <w:szCs w:val="32"/>
          <w:lang w:val="zh-CN"/>
        </w:rPr>
        <w:t>万元，增长</w:t>
      </w:r>
      <w:r>
        <w:rPr>
          <w:rFonts w:hint="eastAsia" w:ascii="仿宋_GB2312" w:hAnsi="仿宋_GB2312" w:eastAsia="仿宋_GB2312" w:cs="仿宋_GB2312"/>
          <w:color w:val="000000"/>
          <w:kern w:val="2"/>
          <w:sz w:val="32"/>
          <w:szCs w:val="32"/>
        </w:rPr>
        <w:t>9.52</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。主要变动原因是</w:t>
      </w:r>
      <w:r>
        <w:rPr>
          <w:rFonts w:ascii="仿宋_GB2312" w:hAnsi="仿宋_GB2312" w:eastAsia="仿宋_GB2312" w:cs="仿宋_GB2312"/>
          <w:color w:val="000000"/>
          <w:kern w:val="2"/>
          <w:sz w:val="32"/>
          <w:szCs w:val="32"/>
        </w:rPr>
        <w:t>202</w:t>
      </w:r>
      <w:r>
        <w:rPr>
          <w:rFonts w:hint="eastAsia" w:ascii="仿宋_GB2312" w:hAnsi="仿宋_GB2312" w:eastAsia="仿宋_GB2312" w:cs="仿宋_GB2312"/>
          <w:color w:val="000000"/>
          <w:kern w:val="2"/>
          <w:sz w:val="32"/>
          <w:szCs w:val="32"/>
        </w:rPr>
        <w:t>3年人员经费有所增加</w:t>
      </w:r>
      <w:r>
        <w:rPr>
          <w:rFonts w:hint="eastAsia" w:ascii="仿宋_GB2312" w:hAnsi="仿宋_GB2312" w:eastAsia="仿宋_GB2312" w:cs="仿宋_GB2312"/>
          <w:color w:val="000000"/>
          <w:kern w:val="2"/>
          <w:sz w:val="32"/>
          <w:szCs w:val="32"/>
          <w:lang w:val="zh-CN"/>
        </w:rPr>
        <w:t>。</w:t>
      </w:r>
    </w:p>
    <w:p>
      <w:pPr>
        <w:spacing w:line="576" w:lineRule="exact"/>
        <w:ind w:firstLine="640"/>
        <w:jc w:val="both"/>
        <w:rPr>
          <w:rFonts w:hint="eastAsia" w:ascii="仿宋" w:hAnsi="仿宋" w:eastAsia="仿宋" w:cs="仿宋"/>
          <w:kern w:val="2"/>
          <w:sz w:val="32"/>
          <w:szCs w:val="32"/>
        </w:rPr>
      </w:pPr>
      <w:r>
        <w:rPr>
          <w:rFonts w:hint="eastAsia" w:ascii="仿宋" w:hAnsi="仿宋" w:eastAsia="仿宋" w:cs="仿宋"/>
          <w:kern w:val="2"/>
          <w:sz w:val="32"/>
          <w:szCs w:val="32"/>
        </w:rPr>
        <w:t>（图</w:t>
      </w:r>
      <w:r>
        <w:rPr>
          <w:rFonts w:ascii="仿宋" w:hAnsi="仿宋" w:eastAsia="仿宋" w:cs="仿宋"/>
          <w:kern w:val="2"/>
          <w:sz w:val="32"/>
          <w:szCs w:val="32"/>
        </w:rPr>
        <w:t>1</w:t>
      </w:r>
      <w:r>
        <w:rPr>
          <w:rFonts w:hint="eastAsia" w:ascii="仿宋" w:hAnsi="仿宋" w:eastAsia="仿宋" w:cs="仿宋"/>
          <w:kern w:val="2"/>
          <w:sz w:val="32"/>
          <w:szCs w:val="32"/>
        </w:rPr>
        <w:t>：收、支决算总计变动情况图）（柱状图）</w:t>
      </w:r>
    </w:p>
    <w:p>
      <w:pPr>
        <w:pStyle w:val="6"/>
        <w:spacing w:before="72"/>
        <w:jc w:val="center"/>
      </w:pPr>
      <w:r>
        <w:drawing>
          <wp:inline distT="0" distB="0" distL="0" distR="0">
            <wp:extent cx="3218815" cy="1932940"/>
            <wp:effectExtent l="0" t="0" r="635" b="1016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28327" cy="1939145"/>
                    </a:xfrm>
                    <a:prstGeom prst="rect">
                      <a:avLst/>
                    </a:prstGeom>
                    <a:noFill/>
                    <a:ln>
                      <a:noFill/>
                    </a:ln>
                  </pic:spPr>
                </pic:pic>
              </a:graphicData>
            </a:graphic>
          </wp:inline>
        </w:drawing>
      </w:r>
    </w:p>
    <w:p>
      <w:pPr>
        <w:pStyle w:val="4"/>
        <w:spacing w:line="576" w:lineRule="exact"/>
        <w:ind w:firstLine="640" w:firstLineChars="200"/>
        <w:rPr>
          <w:rFonts w:hint="eastAsia" w:ascii="黑体" w:hAnsi="黑体" w:eastAsia="黑体" w:cs="黑体"/>
          <w:sz w:val="32"/>
          <w:szCs w:val="32"/>
          <w:lang w:val="zh-CN"/>
        </w:rPr>
      </w:pPr>
      <w:bookmarkStart w:id="5" w:name="_Toc148450359"/>
      <w:r>
        <w:rPr>
          <w:rFonts w:hint="eastAsia" w:ascii="黑体" w:hAnsi="黑体" w:eastAsia="黑体" w:cs="黑体"/>
          <w:sz w:val="32"/>
          <w:szCs w:val="32"/>
          <w:lang w:val="zh-CN"/>
        </w:rPr>
        <w:t>二、收入决算情况说明</w:t>
      </w:r>
      <w:bookmarkEnd w:id="5"/>
    </w:p>
    <w:p>
      <w:pPr>
        <w:spacing w:line="600" w:lineRule="exact"/>
        <w:ind w:firstLine="640" w:firstLineChars="200"/>
        <w:outlineLvl w:val="1"/>
        <w:rPr>
          <w:rFonts w:hint="eastAsia" w:ascii="仿宋_GB2312" w:hAnsi="仿宋_GB2312" w:eastAsia="仿宋_GB2312" w:cs="仿宋_GB2312"/>
          <w:color w:val="000000"/>
          <w:kern w:val="2"/>
          <w:sz w:val="32"/>
          <w:szCs w:val="32"/>
          <w:lang w:val="zh-CN"/>
        </w:rPr>
      </w:pPr>
      <w:r>
        <w:rPr>
          <w:rFonts w:hint="eastAsia" w:ascii="仿宋_GB2312" w:hAnsi="仿宋_GB2312" w:eastAsia="仿宋_GB2312" w:cs="仿宋_GB2312"/>
          <w:color w:val="000000"/>
          <w:kern w:val="2"/>
          <w:sz w:val="32"/>
          <w:szCs w:val="32"/>
          <w:lang w:val="zh-CN"/>
        </w:rPr>
        <w:t>2023年度本年收入合计</w:t>
      </w:r>
      <w:r>
        <w:rPr>
          <w:rFonts w:ascii="仿宋_GB2312" w:hAnsi="仿宋_GB2312" w:eastAsia="仿宋_GB2312" w:cs="仿宋_GB2312"/>
          <w:color w:val="000000"/>
          <w:kern w:val="2"/>
          <w:sz w:val="32"/>
          <w:szCs w:val="32"/>
          <w:lang w:val="zh-CN"/>
        </w:rPr>
        <w:t>4167.2</w:t>
      </w:r>
      <w:r>
        <w:rPr>
          <w:rFonts w:hint="eastAsia" w:ascii="仿宋_GB2312" w:hAnsi="仿宋_GB2312" w:eastAsia="仿宋_GB2312" w:cs="仿宋_GB2312"/>
          <w:color w:val="000000"/>
          <w:kern w:val="2"/>
          <w:sz w:val="32"/>
          <w:szCs w:val="32"/>
          <w:lang w:val="zh-CN"/>
        </w:rPr>
        <w:t>万元，其中：一般公共预算财政拨款收入</w:t>
      </w:r>
      <w:r>
        <w:rPr>
          <w:rFonts w:ascii="仿宋_GB2312" w:hAnsi="仿宋_GB2312" w:eastAsia="仿宋_GB2312" w:cs="仿宋_GB2312"/>
          <w:color w:val="000000"/>
          <w:kern w:val="2"/>
          <w:sz w:val="32"/>
          <w:szCs w:val="32"/>
          <w:lang w:val="zh-CN"/>
        </w:rPr>
        <w:t>3941.3</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94.57%</w:t>
      </w:r>
      <w:r>
        <w:rPr>
          <w:rFonts w:hint="eastAsia" w:ascii="仿宋_GB2312" w:hAnsi="仿宋_GB2312" w:eastAsia="仿宋_GB2312" w:cs="仿宋_GB2312"/>
          <w:color w:val="000000"/>
          <w:kern w:val="2"/>
          <w:sz w:val="32"/>
          <w:szCs w:val="32"/>
          <w:lang w:val="zh-CN"/>
        </w:rPr>
        <w:t>；政府性基金预算财政拨款收入</w:t>
      </w:r>
      <w:r>
        <w:rPr>
          <w:rFonts w:ascii="仿宋_GB2312" w:hAnsi="仿宋_GB2312" w:eastAsia="仿宋_GB2312" w:cs="仿宋_GB2312"/>
          <w:color w:val="000000"/>
          <w:kern w:val="2"/>
          <w:sz w:val="32"/>
          <w:szCs w:val="32"/>
          <w:lang w:val="zh-CN"/>
        </w:rPr>
        <w:t>225.9</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5.42%</w:t>
      </w:r>
      <w:r>
        <w:rPr>
          <w:rFonts w:hint="eastAsia" w:ascii="仿宋_GB2312" w:hAnsi="仿宋_GB2312" w:eastAsia="仿宋_GB2312" w:cs="仿宋_GB2312"/>
          <w:color w:val="000000"/>
          <w:kern w:val="2"/>
          <w:sz w:val="32"/>
          <w:szCs w:val="32"/>
          <w:lang w:val="zh-CN"/>
        </w:rPr>
        <w:t>；国有资本经营预算财政拨款收入</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；上级补助收入</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；事业收入</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；经营收入</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；附属单位上缴收入</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；其他收入</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w:t>
      </w:r>
    </w:p>
    <w:p>
      <w:pPr>
        <w:spacing w:line="600" w:lineRule="exact"/>
        <w:ind w:firstLine="643"/>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w:t>
      </w:r>
      <w:r>
        <w:rPr>
          <w:rFonts w:ascii="仿宋" w:hAnsi="仿宋" w:eastAsia="仿宋" w:cs="仿宋"/>
          <w:b/>
          <w:bCs/>
          <w:kern w:val="2"/>
          <w:sz w:val="32"/>
          <w:szCs w:val="32"/>
        </w:rPr>
        <w:t>01</w:t>
      </w:r>
      <w:r>
        <w:rPr>
          <w:rFonts w:hint="eastAsia" w:ascii="仿宋" w:hAnsi="仿宋" w:eastAsia="仿宋" w:cs="仿宋"/>
          <w:b/>
          <w:bCs/>
          <w:kern w:val="2"/>
          <w:sz w:val="32"/>
          <w:szCs w:val="32"/>
        </w:rPr>
        <w:t>表，仅罗列本单位涉及的收入。）</w:t>
      </w:r>
    </w:p>
    <w:p>
      <w:pPr>
        <w:spacing w:line="600" w:lineRule="exact"/>
        <w:ind w:firstLine="640"/>
        <w:jc w:val="both"/>
        <w:rPr>
          <w:rFonts w:hint="eastAsia" w:ascii="仿宋" w:hAnsi="仿宋" w:eastAsia="仿宋" w:cs="仿宋"/>
          <w:kern w:val="2"/>
          <w:sz w:val="32"/>
          <w:szCs w:val="32"/>
        </w:rPr>
      </w:pPr>
      <w:r>
        <w:rPr>
          <w:rFonts w:hint="eastAsia" w:ascii="仿宋" w:hAnsi="仿宋" w:eastAsia="仿宋" w:cs="仿宋"/>
          <w:kern w:val="2"/>
          <w:sz w:val="32"/>
          <w:szCs w:val="32"/>
        </w:rPr>
        <w:t>（图</w:t>
      </w:r>
      <w:r>
        <w:rPr>
          <w:rFonts w:ascii="仿宋" w:hAnsi="仿宋" w:eastAsia="仿宋" w:cs="仿宋"/>
          <w:kern w:val="2"/>
          <w:sz w:val="32"/>
          <w:szCs w:val="32"/>
        </w:rPr>
        <w:t>2</w:t>
      </w:r>
      <w:r>
        <w:rPr>
          <w:rFonts w:hint="eastAsia" w:ascii="仿宋" w:hAnsi="仿宋" w:eastAsia="仿宋" w:cs="仿宋"/>
          <w:kern w:val="2"/>
          <w:sz w:val="32"/>
          <w:szCs w:val="32"/>
        </w:rPr>
        <w:t>：收入决算结构图）（饼状图）</w:t>
      </w:r>
    </w:p>
    <w:p>
      <w:pPr>
        <w:pStyle w:val="6"/>
        <w:spacing w:before="72"/>
        <w:jc w:val="center"/>
        <w:rPr>
          <w:rFonts w:eastAsia="仿宋" w:cs="仿宋"/>
        </w:rPr>
      </w:pPr>
      <w:r>
        <w:rPr>
          <w:rFonts w:eastAsia="仿宋" w:cs="仿宋"/>
        </w:rPr>
        <w:drawing>
          <wp:inline distT="0" distB="0" distL="0" distR="0">
            <wp:extent cx="3348990" cy="2011680"/>
            <wp:effectExtent l="0" t="0" r="3810" b="7620"/>
            <wp:docPr id="17401097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09796"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359220" cy="2017768"/>
                    </a:xfrm>
                    <a:prstGeom prst="rect">
                      <a:avLst/>
                    </a:prstGeom>
                    <a:noFill/>
                    <a:ln>
                      <a:noFill/>
                    </a:ln>
                  </pic:spPr>
                </pic:pic>
              </a:graphicData>
            </a:graphic>
          </wp:inline>
        </w:drawing>
      </w:r>
    </w:p>
    <w:p>
      <w:pPr>
        <w:pStyle w:val="4"/>
        <w:spacing w:line="576" w:lineRule="exact"/>
        <w:ind w:firstLine="640" w:firstLineChars="200"/>
        <w:rPr>
          <w:rFonts w:hint="eastAsia" w:ascii="黑体" w:hAnsi="黑体" w:eastAsia="黑体" w:cs="黑体"/>
          <w:sz w:val="32"/>
          <w:szCs w:val="32"/>
          <w:lang w:val="zh-CN"/>
        </w:rPr>
      </w:pPr>
      <w:bookmarkStart w:id="6" w:name="_Toc148450360"/>
      <w:r>
        <w:rPr>
          <w:rFonts w:hint="eastAsia" w:ascii="黑体" w:hAnsi="黑体" w:eastAsia="黑体" w:cs="黑体"/>
          <w:sz w:val="32"/>
          <w:szCs w:val="32"/>
          <w:lang w:val="zh-CN"/>
        </w:rPr>
        <w:t>三、支出决算情况说明</w:t>
      </w:r>
      <w:bookmarkEnd w:id="6"/>
    </w:p>
    <w:p>
      <w:pPr>
        <w:pStyle w:val="6"/>
        <w:spacing w:before="72" w:line="576" w:lineRule="exact"/>
        <w:ind w:firstLine="640" w:firstLineChars="200"/>
        <w:rPr>
          <w:rFonts w:hint="eastAsia" w:hAnsi="仿宋_GB2312"/>
          <w:color w:val="000000"/>
          <w:kern w:val="2"/>
          <w:sz w:val="32"/>
          <w:szCs w:val="32"/>
          <w:lang w:val="zh-CN"/>
        </w:rPr>
      </w:pPr>
      <w:r>
        <w:rPr>
          <w:rFonts w:hAnsi="仿宋_GB2312"/>
          <w:color w:val="000000"/>
          <w:kern w:val="2"/>
          <w:sz w:val="32"/>
          <w:szCs w:val="32"/>
          <w:lang w:val="zh-CN"/>
        </w:rPr>
        <w:t>202</w:t>
      </w:r>
      <w:r>
        <w:rPr>
          <w:rFonts w:hint="eastAsia" w:hAnsi="仿宋_GB2312"/>
          <w:color w:val="000000"/>
          <w:kern w:val="2"/>
          <w:sz w:val="32"/>
          <w:szCs w:val="32"/>
        </w:rPr>
        <w:t>3</w:t>
      </w:r>
      <w:r>
        <w:rPr>
          <w:rFonts w:hint="eastAsia" w:hAnsi="仿宋_GB2312"/>
          <w:color w:val="000000"/>
          <w:kern w:val="2"/>
          <w:sz w:val="32"/>
          <w:szCs w:val="32"/>
          <w:lang w:val="zh-CN"/>
        </w:rPr>
        <w:t>年度本年支出合计4382.01万元，其中：基本支出2316.39万元，占</w:t>
      </w:r>
      <w:r>
        <w:rPr>
          <w:rFonts w:hint="eastAsia" w:hAnsi="仿宋_GB2312"/>
          <w:color w:val="000000"/>
          <w:kern w:val="2"/>
          <w:sz w:val="32"/>
          <w:szCs w:val="32"/>
        </w:rPr>
        <w:t>52.86</w:t>
      </w:r>
      <w:r>
        <w:rPr>
          <w:rFonts w:hAnsi="仿宋_GB2312"/>
          <w:color w:val="000000"/>
          <w:kern w:val="2"/>
          <w:sz w:val="32"/>
          <w:szCs w:val="32"/>
          <w:lang w:val="zh-CN"/>
        </w:rPr>
        <w:t>%</w:t>
      </w:r>
      <w:r>
        <w:rPr>
          <w:rFonts w:hint="eastAsia" w:hAnsi="仿宋_GB2312"/>
          <w:color w:val="000000"/>
          <w:kern w:val="2"/>
          <w:sz w:val="32"/>
          <w:szCs w:val="32"/>
          <w:lang w:val="zh-CN"/>
        </w:rPr>
        <w:t>；项目支出2065.6</w:t>
      </w:r>
      <w:r>
        <w:rPr>
          <w:rFonts w:hint="eastAsia" w:hAnsi="仿宋_GB2312"/>
          <w:color w:val="000000"/>
          <w:kern w:val="2"/>
          <w:sz w:val="32"/>
          <w:szCs w:val="32"/>
        </w:rPr>
        <w:t>2</w:t>
      </w:r>
      <w:r>
        <w:rPr>
          <w:rFonts w:hint="eastAsia" w:hAnsi="仿宋_GB2312"/>
          <w:color w:val="000000"/>
          <w:kern w:val="2"/>
          <w:sz w:val="32"/>
          <w:szCs w:val="32"/>
          <w:lang w:val="zh-CN"/>
        </w:rPr>
        <w:t>万元，占</w:t>
      </w:r>
      <w:r>
        <w:rPr>
          <w:rFonts w:hint="eastAsia" w:hAnsi="仿宋_GB2312"/>
          <w:color w:val="000000"/>
          <w:kern w:val="2"/>
          <w:sz w:val="32"/>
          <w:szCs w:val="32"/>
        </w:rPr>
        <w:t>47.14</w:t>
      </w:r>
      <w:r>
        <w:rPr>
          <w:rFonts w:hAnsi="仿宋_GB2312"/>
          <w:color w:val="000000"/>
          <w:kern w:val="2"/>
          <w:sz w:val="32"/>
          <w:szCs w:val="32"/>
          <w:lang w:val="zh-CN"/>
        </w:rPr>
        <w:t>%</w:t>
      </w:r>
      <w:r>
        <w:rPr>
          <w:rFonts w:hint="eastAsia" w:hAnsi="仿宋_GB2312"/>
          <w:color w:val="000000"/>
          <w:kern w:val="2"/>
          <w:sz w:val="32"/>
          <w:szCs w:val="32"/>
          <w:lang w:val="zh-CN"/>
        </w:rPr>
        <w:t>；上缴上级支出</w:t>
      </w:r>
      <w:r>
        <w:rPr>
          <w:rFonts w:hAnsi="仿宋_GB2312"/>
          <w:color w:val="000000"/>
          <w:kern w:val="2"/>
          <w:sz w:val="32"/>
          <w:szCs w:val="32"/>
          <w:lang w:val="zh-CN"/>
        </w:rPr>
        <w:t>0</w:t>
      </w:r>
      <w:r>
        <w:rPr>
          <w:rFonts w:hint="eastAsia" w:hAnsi="仿宋_GB2312"/>
          <w:color w:val="000000"/>
          <w:kern w:val="2"/>
          <w:sz w:val="32"/>
          <w:szCs w:val="32"/>
          <w:lang w:val="zh-CN"/>
        </w:rPr>
        <w:t>万元，占0</w:t>
      </w:r>
      <w:r>
        <w:rPr>
          <w:rFonts w:hAnsi="仿宋_GB2312"/>
          <w:color w:val="000000"/>
          <w:kern w:val="2"/>
          <w:sz w:val="32"/>
          <w:szCs w:val="32"/>
          <w:lang w:val="zh-CN"/>
        </w:rPr>
        <w:t>%</w:t>
      </w:r>
      <w:r>
        <w:rPr>
          <w:rFonts w:hint="eastAsia" w:hAnsi="仿宋_GB2312"/>
          <w:color w:val="000000"/>
          <w:kern w:val="2"/>
          <w:sz w:val="32"/>
          <w:szCs w:val="32"/>
          <w:lang w:val="zh-CN"/>
        </w:rPr>
        <w:t>；经营支出</w:t>
      </w:r>
      <w:r>
        <w:rPr>
          <w:rFonts w:hAnsi="仿宋_GB2312"/>
          <w:color w:val="000000"/>
          <w:kern w:val="2"/>
          <w:sz w:val="32"/>
          <w:szCs w:val="32"/>
          <w:lang w:val="zh-CN"/>
        </w:rPr>
        <w:t>0</w:t>
      </w:r>
      <w:r>
        <w:rPr>
          <w:rFonts w:hint="eastAsia" w:hAnsi="仿宋_GB2312"/>
          <w:color w:val="000000"/>
          <w:kern w:val="2"/>
          <w:sz w:val="32"/>
          <w:szCs w:val="32"/>
          <w:lang w:val="zh-CN"/>
        </w:rPr>
        <w:t>万元，占</w:t>
      </w:r>
      <w:r>
        <w:rPr>
          <w:rFonts w:hAnsi="仿宋_GB2312"/>
          <w:color w:val="000000"/>
          <w:kern w:val="2"/>
          <w:sz w:val="32"/>
          <w:szCs w:val="32"/>
          <w:lang w:val="zh-CN"/>
        </w:rPr>
        <w:t>0%</w:t>
      </w:r>
      <w:r>
        <w:rPr>
          <w:rFonts w:hint="eastAsia" w:hAnsi="仿宋_GB2312"/>
          <w:color w:val="000000"/>
          <w:kern w:val="2"/>
          <w:sz w:val="32"/>
          <w:szCs w:val="32"/>
          <w:lang w:val="zh-CN"/>
        </w:rPr>
        <w:t>；对附属单位补助支出</w:t>
      </w:r>
      <w:r>
        <w:rPr>
          <w:rFonts w:hAnsi="仿宋_GB2312"/>
          <w:color w:val="000000"/>
          <w:kern w:val="2"/>
          <w:sz w:val="32"/>
          <w:szCs w:val="32"/>
          <w:lang w:val="zh-CN"/>
        </w:rPr>
        <w:t>0</w:t>
      </w:r>
      <w:r>
        <w:rPr>
          <w:rFonts w:hint="eastAsia" w:hAnsi="仿宋_GB2312"/>
          <w:color w:val="000000"/>
          <w:kern w:val="2"/>
          <w:sz w:val="32"/>
          <w:szCs w:val="32"/>
          <w:lang w:val="zh-CN"/>
        </w:rPr>
        <w:t>万元，占</w:t>
      </w:r>
      <w:r>
        <w:rPr>
          <w:rFonts w:hAnsi="仿宋_GB2312"/>
          <w:color w:val="000000"/>
          <w:kern w:val="2"/>
          <w:sz w:val="32"/>
          <w:szCs w:val="32"/>
          <w:lang w:val="zh-CN"/>
        </w:rPr>
        <w:t>0%</w:t>
      </w:r>
      <w:r>
        <w:rPr>
          <w:rFonts w:hint="eastAsia" w:hAnsi="仿宋_GB2312"/>
          <w:color w:val="000000"/>
          <w:kern w:val="2"/>
          <w:sz w:val="32"/>
          <w:szCs w:val="32"/>
          <w:lang w:val="zh-CN"/>
        </w:rPr>
        <w:t>。</w:t>
      </w:r>
    </w:p>
    <w:p>
      <w:pPr>
        <w:spacing w:line="600" w:lineRule="exact"/>
        <w:ind w:firstLine="643"/>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w:t>
      </w:r>
      <w:r>
        <w:rPr>
          <w:rFonts w:ascii="仿宋" w:hAnsi="仿宋" w:eastAsia="仿宋" w:cs="仿宋"/>
          <w:b/>
          <w:bCs/>
          <w:kern w:val="2"/>
          <w:sz w:val="32"/>
          <w:szCs w:val="32"/>
        </w:rPr>
        <w:t>04</w:t>
      </w:r>
      <w:r>
        <w:rPr>
          <w:rFonts w:hint="eastAsia" w:ascii="仿宋" w:hAnsi="仿宋" w:eastAsia="仿宋" w:cs="仿宋"/>
          <w:b/>
          <w:bCs/>
          <w:kern w:val="2"/>
          <w:sz w:val="32"/>
          <w:szCs w:val="32"/>
        </w:rPr>
        <w:t>表，仅罗列本单位涉及的支出。）</w:t>
      </w:r>
    </w:p>
    <w:p>
      <w:pPr>
        <w:spacing w:line="600" w:lineRule="exact"/>
        <w:ind w:firstLine="640"/>
        <w:jc w:val="both"/>
        <w:rPr>
          <w:rFonts w:hint="eastAsia" w:ascii="仿宋" w:hAnsi="仿宋" w:eastAsia="仿宋" w:cs="仿宋"/>
          <w:kern w:val="2"/>
          <w:sz w:val="32"/>
          <w:szCs w:val="32"/>
        </w:rPr>
      </w:pPr>
      <w:r>
        <w:rPr>
          <w:rFonts w:hint="eastAsia" w:ascii="仿宋" w:hAnsi="仿宋" w:eastAsia="仿宋" w:cs="仿宋"/>
          <w:kern w:val="2"/>
          <w:sz w:val="32"/>
          <w:szCs w:val="32"/>
        </w:rPr>
        <w:t>（图</w:t>
      </w:r>
      <w:r>
        <w:rPr>
          <w:rFonts w:ascii="仿宋" w:hAnsi="仿宋" w:eastAsia="仿宋" w:cs="仿宋"/>
          <w:kern w:val="2"/>
          <w:sz w:val="32"/>
          <w:szCs w:val="32"/>
        </w:rPr>
        <w:t>3</w:t>
      </w:r>
      <w:r>
        <w:rPr>
          <w:rFonts w:hint="eastAsia" w:ascii="仿宋" w:hAnsi="仿宋" w:eastAsia="仿宋" w:cs="仿宋"/>
          <w:kern w:val="2"/>
          <w:sz w:val="32"/>
          <w:szCs w:val="32"/>
        </w:rPr>
        <w:t>：支出决算结构图）（饼状图）</w:t>
      </w:r>
    </w:p>
    <w:p>
      <w:pPr>
        <w:pStyle w:val="6"/>
        <w:spacing w:before="72"/>
        <w:jc w:val="center"/>
      </w:pPr>
      <w:r>
        <w:drawing>
          <wp:inline distT="0" distB="0" distL="0" distR="0">
            <wp:extent cx="3373120" cy="2026285"/>
            <wp:effectExtent l="0" t="0" r="0" b="0"/>
            <wp:docPr id="5869210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21064"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391920" cy="2037409"/>
                    </a:xfrm>
                    <a:prstGeom prst="rect">
                      <a:avLst/>
                    </a:prstGeom>
                    <a:noFill/>
                    <a:ln>
                      <a:noFill/>
                    </a:ln>
                  </pic:spPr>
                </pic:pic>
              </a:graphicData>
            </a:graphic>
          </wp:inline>
        </w:drawing>
      </w:r>
    </w:p>
    <w:p>
      <w:pPr>
        <w:pStyle w:val="4"/>
        <w:spacing w:line="576" w:lineRule="exact"/>
        <w:ind w:firstLine="640" w:firstLineChars="200"/>
        <w:rPr>
          <w:rFonts w:hint="eastAsia" w:ascii="黑体" w:hAnsi="黑体" w:eastAsia="黑体" w:cs="黑体"/>
          <w:sz w:val="32"/>
          <w:szCs w:val="32"/>
          <w:lang w:val="zh-CN"/>
        </w:rPr>
      </w:pPr>
      <w:bookmarkStart w:id="7" w:name="_Toc148450361"/>
      <w:r>
        <w:rPr>
          <w:rFonts w:hint="eastAsia" w:ascii="黑体" w:hAnsi="黑体" w:eastAsia="黑体" w:cs="黑体"/>
          <w:sz w:val="32"/>
          <w:szCs w:val="32"/>
          <w:lang w:val="zh-CN"/>
        </w:rPr>
        <w:t>四、财政拨款收入支出决算总体情况说明</w:t>
      </w:r>
      <w:bookmarkEnd w:id="7"/>
    </w:p>
    <w:p>
      <w:pPr>
        <w:keepNext/>
        <w:keepLines/>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年度财政拨款收、支总计4382.01万元。与</w:t>
      </w: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2度</w:t>
      </w:r>
      <w:r>
        <w:rPr>
          <w:rFonts w:hint="eastAsia" w:ascii="仿宋_GB2312" w:hAnsi="仿宋_GB2312" w:eastAsia="仿宋_GB2312" w:cs="仿宋_GB2312"/>
          <w:color w:val="000000"/>
          <w:kern w:val="2"/>
          <w:sz w:val="32"/>
          <w:szCs w:val="32"/>
          <w:lang w:val="zh-CN"/>
        </w:rPr>
        <w:t>年相比，财政拨款收、支总计各增加</w:t>
      </w:r>
      <w:r>
        <w:rPr>
          <w:rFonts w:hint="eastAsia" w:ascii="仿宋_GB2312" w:hAnsi="仿宋_GB2312" w:eastAsia="仿宋_GB2312" w:cs="仿宋_GB2312"/>
          <w:color w:val="000000"/>
          <w:kern w:val="2"/>
          <w:sz w:val="32"/>
          <w:szCs w:val="32"/>
        </w:rPr>
        <w:t>417.24</w:t>
      </w:r>
      <w:r>
        <w:rPr>
          <w:rFonts w:hint="eastAsia" w:ascii="仿宋_GB2312" w:hAnsi="仿宋_GB2312" w:eastAsia="仿宋_GB2312" w:cs="仿宋_GB2312"/>
          <w:color w:val="000000"/>
          <w:kern w:val="2"/>
          <w:sz w:val="32"/>
          <w:szCs w:val="32"/>
          <w:lang w:val="zh-CN"/>
        </w:rPr>
        <w:t>万元，增长</w:t>
      </w:r>
      <w:r>
        <w:rPr>
          <w:rFonts w:hint="eastAsia" w:ascii="仿宋_GB2312" w:hAnsi="仿宋_GB2312" w:eastAsia="仿宋_GB2312" w:cs="仿宋_GB2312"/>
          <w:color w:val="000000"/>
          <w:kern w:val="2"/>
          <w:sz w:val="32"/>
          <w:szCs w:val="32"/>
        </w:rPr>
        <w:t>9.52</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。主要变动原因是</w:t>
      </w:r>
      <w:r>
        <w:rPr>
          <w:rFonts w:ascii="仿宋_GB2312" w:hAnsi="仿宋_GB2312" w:eastAsia="仿宋_GB2312" w:cs="仿宋_GB2312"/>
          <w:color w:val="000000"/>
          <w:kern w:val="2"/>
          <w:sz w:val="32"/>
          <w:szCs w:val="32"/>
        </w:rPr>
        <w:t>202</w:t>
      </w:r>
      <w:r>
        <w:rPr>
          <w:rFonts w:hint="eastAsia" w:ascii="仿宋_GB2312" w:hAnsi="仿宋_GB2312" w:eastAsia="仿宋_GB2312" w:cs="仿宋_GB2312"/>
          <w:color w:val="000000"/>
          <w:kern w:val="2"/>
          <w:sz w:val="32"/>
          <w:szCs w:val="32"/>
        </w:rPr>
        <w:t>3年人员经费有所增加</w:t>
      </w:r>
      <w:r>
        <w:rPr>
          <w:rFonts w:hint="eastAsia" w:ascii="仿宋_GB2312" w:hAnsi="仿宋_GB2312" w:eastAsia="仿宋_GB2312" w:cs="仿宋_GB2312"/>
          <w:color w:val="000000"/>
          <w:kern w:val="2"/>
          <w:sz w:val="32"/>
          <w:szCs w:val="32"/>
          <w:lang w:val="zh-CN"/>
        </w:rPr>
        <w:t>。</w:t>
      </w:r>
    </w:p>
    <w:p>
      <w:pPr>
        <w:spacing w:line="600" w:lineRule="exact"/>
        <w:ind w:firstLine="640"/>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w:t>
      </w:r>
      <w:r>
        <w:rPr>
          <w:rFonts w:ascii="仿宋" w:hAnsi="仿宋" w:eastAsia="仿宋" w:cs="仿宋"/>
          <w:b/>
          <w:bCs/>
          <w:kern w:val="2"/>
          <w:sz w:val="32"/>
          <w:szCs w:val="32"/>
        </w:rPr>
        <w:t>01-1</w:t>
      </w:r>
      <w:r>
        <w:rPr>
          <w:rFonts w:hint="eastAsia" w:ascii="仿宋" w:hAnsi="仿宋" w:eastAsia="仿宋" w:cs="仿宋"/>
          <w:b/>
          <w:bCs/>
          <w:kern w:val="2"/>
          <w:sz w:val="32"/>
          <w:szCs w:val="32"/>
        </w:rPr>
        <w:t>表）</w:t>
      </w:r>
    </w:p>
    <w:p>
      <w:pPr>
        <w:spacing w:line="600" w:lineRule="exact"/>
        <w:ind w:firstLine="640"/>
        <w:jc w:val="both"/>
        <w:rPr>
          <w:rFonts w:hint="eastAsia" w:ascii="仿宋" w:hAnsi="仿宋" w:eastAsia="仿宋" w:cs="仿宋"/>
          <w:kern w:val="2"/>
          <w:sz w:val="32"/>
          <w:szCs w:val="32"/>
        </w:rPr>
      </w:pPr>
      <w:r>
        <w:rPr>
          <w:rFonts w:hint="eastAsia" w:ascii="仿宋" w:hAnsi="仿宋" w:eastAsia="仿宋" w:cs="仿宋"/>
          <w:kern w:val="2"/>
          <w:sz w:val="32"/>
          <w:szCs w:val="32"/>
        </w:rPr>
        <w:t>（图</w:t>
      </w:r>
      <w:r>
        <w:rPr>
          <w:rFonts w:ascii="仿宋" w:hAnsi="仿宋" w:eastAsia="仿宋" w:cs="仿宋"/>
          <w:kern w:val="2"/>
          <w:sz w:val="32"/>
          <w:szCs w:val="32"/>
        </w:rPr>
        <w:t>4</w:t>
      </w:r>
      <w:r>
        <w:rPr>
          <w:rFonts w:hint="eastAsia" w:ascii="仿宋" w:hAnsi="仿宋" w:eastAsia="仿宋" w:cs="仿宋"/>
          <w:kern w:val="2"/>
          <w:sz w:val="32"/>
          <w:szCs w:val="32"/>
        </w:rPr>
        <w:t>：财政拨款收、支决算总计变动情况）（柱状图）</w:t>
      </w:r>
    </w:p>
    <w:p>
      <w:pPr>
        <w:pStyle w:val="6"/>
        <w:spacing w:before="72"/>
        <w:jc w:val="center"/>
      </w:pPr>
      <w:r>
        <w:drawing>
          <wp:inline distT="0" distB="0" distL="0" distR="0">
            <wp:extent cx="3218815" cy="1932940"/>
            <wp:effectExtent l="0" t="0" r="635" b="0"/>
            <wp:docPr id="13792594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59400" name="图片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228327" cy="1939145"/>
                    </a:xfrm>
                    <a:prstGeom prst="rect">
                      <a:avLst/>
                    </a:prstGeom>
                    <a:noFill/>
                    <a:ln>
                      <a:noFill/>
                    </a:ln>
                  </pic:spPr>
                </pic:pic>
              </a:graphicData>
            </a:graphic>
          </wp:inline>
        </w:drawing>
      </w:r>
    </w:p>
    <w:p>
      <w:pPr>
        <w:pStyle w:val="4"/>
        <w:spacing w:line="576" w:lineRule="exact"/>
        <w:ind w:firstLine="640" w:firstLineChars="200"/>
        <w:rPr>
          <w:rFonts w:hint="eastAsia" w:ascii="黑体" w:hAnsi="黑体" w:eastAsia="黑体" w:cs="黑体"/>
          <w:sz w:val="32"/>
          <w:szCs w:val="32"/>
          <w:lang w:val="zh-CN"/>
        </w:rPr>
      </w:pPr>
      <w:bookmarkStart w:id="8" w:name="_Toc148450362"/>
      <w:r>
        <w:rPr>
          <w:rFonts w:hint="eastAsia" w:ascii="黑体" w:hAnsi="黑体" w:eastAsia="黑体" w:cs="黑体"/>
          <w:sz w:val="32"/>
          <w:szCs w:val="32"/>
          <w:lang w:val="zh-CN"/>
        </w:rPr>
        <w:t>五、一般公共预算财政拨款支出决算情况说明</w:t>
      </w:r>
      <w:bookmarkEnd w:id="8"/>
    </w:p>
    <w:p>
      <w:pPr>
        <w:keepNext/>
        <w:keepLines/>
        <w:spacing w:line="576" w:lineRule="exact"/>
        <w:ind w:firstLine="643"/>
        <w:jc w:val="both"/>
        <w:rPr>
          <w:rFonts w:hint="eastAsia" w:ascii="仿宋_GB2312" w:hAnsi="仿宋_GB2312" w:eastAsia="仿宋_GB2312" w:cs="仿宋_GB2312"/>
          <w:b/>
          <w:bCs/>
          <w:color w:val="000000"/>
          <w:kern w:val="2"/>
          <w:sz w:val="32"/>
          <w:szCs w:val="32"/>
          <w:lang w:val="zh-CN"/>
        </w:rPr>
      </w:pPr>
      <w:r>
        <w:rPr>
          <w:rFonts w:hint="eastAsia" w:ascii="仿宋_GB2312" w:hAnsi="仿宋_GB2312" w:eastAsia="仿宋_GB2312" w:cs="仿宋_GB2312"/>
          <w:b/>
          <w:bCs/>
          <w:color w:val="000000"/>
          <w:kern w:val="2"/>
          <w:sz w:val="32"/>
          <w:szCs w:val="32"/>
          <w:lang w:val="zh-CN"/>
        </w:rPr>
        <w:t>（一）一般公共预算财政拨款支出决算总体情况。</w:t>
      </w:r>
    </w:p>
    <w:p>
      <w:pPr>
        <w:keepNext/>
        <w:keepLines/>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年度一般公共预算财政拨款支出39</w:t>
      </w:r>
      <w:r>
        <w:rPr>
          <w:rFonts w:hint="eastAsia" w:ascii="仿宋_GB2312" w:hAnsi="仿宋_GB2312" w:eastAsia="仿宋_GB2312" w:cs="仿宋_GB2312"/>
          <w:color w:val="000000"/>
          <w:kern w:val="2"/>
          <w:sz w:val="32"/>
          <w:szCs w:val="32"/>
        </w:rPr>
        <w:t>86.11</w:t>
      </w:r>
      <w:r>
        <w:rPr>
          <w:rFonts w:hint="eastAsia" w:ascii="仿宋_GB2312" w:hAnsi="仿宋_GB2312" w:eastAsia="仿宋_GB2312" w:cs="仿宋_GB2312"/>
          <w:color w:val="000000"/>
          <w:kern w:val="2"/>
          <w:sz w:val="32"/>
          <w:szCs w:val="32"/>
          <w:lang w:val="zh-CN"/>
        </w:rPr>
        <w:t>万元，占本年支出合计的</w:t>
      </w:r>
      <w:r>
        <w:rPr>
          <w:rFonts w:hint="eastAsia" w:ascii="仿宋_GB2312" w:hAnsi="仿宋_GB2312" w:eastAsia="仿宋_GB2312" w:cs="仿宋_GB2312"/>
          <w:color w:val="000000"/>
          <w:kern w:val="2"/>
          <w:sz w:val="32"/>
          <w:szCs w:val="32"/>
        </w:rPr>
        <w:t>90.96</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。与</w:t>
      </w: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2</w:t>
      </w:r>
      <w:r>
        <w:rPr>
          <w:rFonts w:hint="eastAsia" w:ascii="仿宋_GB2312" w:hAnsi="仿宋_GB2312" w:eastAsia="仿宋_GB2312" w:cs="仿宋_GB2312"/>
          <w:color w:val="000000"/>
          <w:kern w:val="2"/>
          <w:sz w:val="32"/>
          <w:szCs w:val="32"/>
          <w:lang w:val="zh-CN"/>
        </w:rPr>
        <w:t>年度相比，一般公共预算财政拨款支出增加</w:t>
      </w:r>
      <w:r>
        <w:rPr>
          <w:rFonts w:hint="eastAsia" w:ascii="仿宋_GB2312" w:hAnsi="仿宋_GB2312" w:eastAsia="仿宋_GB2312" w:cs="仿宋_GB2312"/>
          <w:color w:val="000000"/>
          <w:kern w:val="2"/>
          <w:sz w:val="32"/>
          <w:szCs w:val="32"/>
        </w:rPr>
        <w:t>623.14</w:t>
      </w:r>
      <w:r>
        <w:rPr>
          <w:rFonts w:hint="eastAsia" w:ascii="仿宋_GB2312" w:hAnsi="仿宋_GB2312" w:eastAsia="仿宋_GB2312" w:cs="仿宋_GB2312"/>
          <w:color w:val="000000"/>
          <w:kern w:val="2"/>
          <w:sz w:val="32"/>
          <w:szCs w:val="32"/>
          <w:lang w:val="zh-CN"/>
        </w:rPr>
        <w:t>万元，增长</w:t>
      </w:r>
      <w:r>
        <w:rPr>
          <w:rFonts w:hint="eastAsia" w:ascii="仿宋_GB2312" w:hAnsi="仿宋_GB2312" w:eastAsia="仿宋_GB2312" w:cs="仿宋_GB2312"/>
          <w:color w:val="000000"/>
          <w:kern w:val="2"/>
          <w:sz w:val="32"/>
          <w:szCs w:val="32"/>
        </w:rPr>
        <w:t>15.63</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。主要变动原因是</w:t>
      </w:r>
      <w:r>
        <w:rPr>
          <w:rFonts w:ascii="仿宋_GB2312" w:hAnsi="仿宋_GB2312" w:eastAsia="仿宋_GB2312" w:cs="仿宋_GB2312"/>
          <w:color w:val="000000"/>
          <w:kern w:val="2"/>
          <w:sz w:val="32"/>
          <w:szCs w:val="32"/>
        </w:rPr>
        <w:t>202</w:t>
      </w:r>
      <w:r>
        <w:rPr>
          <w:rFonts w:hint="eastAsia" w:ascii="仿宋_GB2312" w:hAnsi="仿宋_GB2312" w:eastAsia="仿宋_GB2312" w:cs="仿宋_GB2312"/>
          <w:color w:val="000000"/>
          <w:kern w:val="2"/>
          <w:sz w:val="32"/>
          <w:szCs w:val="32"/>
        </w:rPr>
        <w:t>3年度人员经费有所增加</w:t>
      </w:r>
      <w:r>
        <w:rPr>
          <w:rFonts w:hint="eastAsia" w:ascii="仿宋_GB2312" w:hAnsi="仿宋_GB2312" w:eastAsia="仿宋_GB2312" w:cs="仿宋_GB2312"/>
          <w:color w:val="000000"/>
          <w:kern w:val="2"/>
          <w:sz w:val="32"/>
          <w:szCs w:val="32"/>
          <w:lang w:val="zh-CN"/>
        </w:rPr>
        <w:t>。</w:t>
      </w:r>
    </w:p>
    <w:p>
      <w:pPr>
        <w:spacing w:line="600" w:lineRule="exact"/>
        <w:ind w:firstLine="640"/>
        <w:jc w:val="both"/>
        <w:rPr>
          <w:rFonts w:hint="eastAsia" w:ascii="仿宋" w:hAnsi="仿宋" w:eastAsia="仿宋" w:cs="仿宋"/>
          <w:kern w:val="2"/>
          <w:sz w:val="32"/>
          <w:szCs w:val="32"/>
        </w:rPr>
      </w:pPr>
      <w:r>
        <w:rPr>
          <w:rFonts w:hint="eastAsia" w:ascii="仿宋" w:hAnsi="仿宋" w:eastAsia="仿宋" w:cs="仿宋"/>
          <w:kern w:val="2"/>
          <w:sz w:val="32"/>
          <w:szCs w:val="32"/>
        </w:rPr>
        <w:t>（图</w:t>
      </w:r>
      <w:r>
        <w:rPr>
          <w:rFonts w:ascii="仿宋" w:hAnsi="仿宋" w:eastAsia="仿宋" w:cs="仿宋"/>
          <w:kern w:val="2"/>
          <w:sz w:val="32"/>
          <w:szCs w:val="32"/>
        </w:rPr>
        <w:t>5</w:t>
      </w:r>
      <w:r>
        <w:rPr>
          <w:rFonts w:hint="eastAsia" w:ascii="仿宋" w:hAnsi="仿宋" w:eastAsia="仿宋" w:cs="仿宋"/>
          <w:kern w:val="2"/>
          <w:sz w:val="32"/>
          <w:szCs w:val="32"/>
        </w:rPr>
        <w:t>：一般公共预算财政拨款支出决算变动情况）（柱状图）</w:t>
      </w:r>
    </w:p>
    <w:p>
      <w:pPr>
        <w:pStyle w:val="6"/>
        <w:spacing w:before="72"/>
        <w:jc w:val="center"/>
      </w:pPr>
      <w:r>
        <w:drawing>
          <wp:inline distT="0" distB="0" distL="0" distR="0">
            <wp:extent cx="3269615" cy="1964055"/>
            <wp:effectExtent l="0" t="0" r="6985" b="0"/>
            <wp:docPr id="80695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65" name="图片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79135" cy="1969664"/>
                    </a:xfrm>
                    <a:prstGeom prst="rect">
                      <a:avLst/>
                    </a:prstGeom>
                    <a:noFill/>
                    <a:ln>
                      <a:noFill/>
                    </a:ln>
                  </pic:spPr>
                </pic:pic>
              </a:graphicData>
            </a:graphic>
          </wp:inline>
        </w:drawing>
      </w:r>
    </w:p>
    <w:p>
      <w:pPr>
        <w:keepNext/>
        <w:keepLines/>
        <w:spacing w:line="576" w:lineRule="exact"/>
        <w:ind w:firstLine="643"/>
        <w:jc w:val="both"/>
        <w:rPr>
          <w:rFonts w:hint="eastAsia" w:ascii="仿宋_GB2312" w:hAnsi="仿宋_GB2312" w:eastAsia="仿宋_GB2312" w:cs="仿宋_GB2312"/>
          <w:b/>
          <w:bCs/>
          <w:color w:val="000000"/>
          <w:kern w:val="2"/>
          <w:sz w:val="32"/>
          <w:szCs w:val="32"/>
          <w:lang w:val="zh-CN"/>
        </w:rPr>
      </w:pPr>
      <w:r>
        <w:rPr>
          <w:rFonts w:hint="eastAsia" w:ascii="仿宋_GB2312" w:hAnsi="仿宋_GB2312" w:eastAsia="仿宋_GB2312" w:cs="仿宋_GB2312"/>
          <w:b/>
          <w:bCs/>
          <w:color w:val="000000"/>
          <w:kern w:val="2"/>
          <w:sz w:val="32"/>
          <w:szCs w:val="32"/>
          <w:lang w:val="zh-CN"/>
        </w:rPr>
        <w:t>（二）一般公共预算财政拨款支出决算结构情况。</w:t>
      </w:r>
    </w:p>
    <w:p>
      <w:pPr>
        <w:keepNext/>
        <w:keepLines/>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年度一般公共预算财政拨款支出3986.11万元，主要用于以下方面</w:t>
      </w:r>
      <w:r>
        <w:rPr>
          <w:rFonts w:ascii="仿宋_GB2312" w:hAnsi="仿宋_GB2312" w:eastAsia="仿宋_GB2312" w:cs="仿宋_GB2312"/>
          <w:color w:val="000000"/>
          <w:kern w:val="2"/>
          <w:sz w:val="32"/>
          <w:szCs w:val="32"/>
          <w:lang w:val="zh-CN"/>
        </w:rPr>
        <w:t xml:space="preserve">: </w:t>
      </w:r>
      <w:r>
        <w:rPr>
          <w:rFonts w:hint="eastAsia" w:ascii="仿宋_GB2312" w:hAnsi="仿宋_GB2312" w:eastAsia="仿宋_GB2312" w:cs="仿宋_GB2312"/>
          <w:color w:val="000000"/>
          <w:kern w:val="2"/>
          <w:sz w:val="32"/>
          <w:szCs w:val="32"/>
          <w:lang w:val="zh-CN"/>
        </w:rPr>
        <w:t>一般公共服务支出648.44万元，占</w:t>
      </w:r>
      <w:r>
        <w:rPr>
          <w:rFonts w:hint="eastAsia" w:ascii="仿宋_GB2312" w:hAnsi="仿宋_GB2312" w:eastAsia="仿宋_GB2312" w:cs="仿宋_GB2312"/>
          <w:color w:val="000000"/>
          <w:kern w:val="2"/>
          <w:sz w:val="32"/>
          <w:szCs w:val="32"/>
        </w:rPr>
        <w:t>16.27</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；教育支出64.96万元，占</w:t>
      </w:r>
      <w:r>
        <w:rPr>
          <w:rFonts w:hint="eastAsia" w:ascii="仿宋_GB2312" w:hAnsi="仿宋_GB2312" w:eastAsia="仿宋_GB2312" w:cs="仿宋_GB2312"/>
          <w:color w:val="000000"/>
          <w:kern w:val="2"/>
          <w:sz w:val="32"/>
          <w:szCs w:val="32"/>
        </w:rPr>
        <w:t>1.63</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；社会保障和就业支出344.06万元，占</w:t>
      </w:r>
      <w:r>
        <w:rPr>
          <w:rFonts w:hint="eastAsia" w:ascii="仿宋_GB2312" w:hAnsi="仿宋_GB2312" w:eastAsia="仿宋_GB2312" w:cs="仿宋_GB2312"/>
          <w:color w:val="000000"/>
          <w:kern w:val="2"/>
          <w:sz w:val="32"/>
          <w:szCs w:val="32"/>
        </w:rPr>
        <w:t>8.63</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；卫生健康支出818.26万元，占</w:t>
      </w:r>
      <w:r>
        <w:rPr>
          <w:rFonts w:hint="eastAsia" w:ascii="仿宋_GB2312" w:hAnsi="仿宋_GB2312" w:eastAsia="仿宋_GB2312" w:cs="仿宋_GB2312"/>
          <w:color w:val="000000"/>
          <w:kern w:val="2"/>
          <w:sz w:val="32"/>
          <w:szCs w:val="32"/>
        </w:rPr>
        <w:t>20.53</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；城乡社区支出33.15万元，占</w:t>
      </w:r>
      <w:r>
        <w:rPr>
          <w:rFonts w:hint="eastAsia" w:ascii="仿宋_GB2312" w:hAnsi="仿宋_GB2312" w:eastAsia="仿宋_GB2312" w:cs="仿宋_GB2312"/>
          <w:color w:val="000000"/>
          <w:kern w:val="2"/>
          <w:sz w:val="32"/>
          <w:szCs w:val="32"/>
        </w:rPr>
        <w:t>0.83%</w:t>
      </w:r>
      <w:r>
        <w:rPr>
          <w:rFonts w:hint="eastAsia" w:ascii="仿宋_GB2312" w:hAnsi="仿宋_GB2312" w:eastAsia="仿宋_GB2312" w:cs="仿宋_GB2312"/>
          <w:color w:val="000000"/>
          <w:kern w:val="2"/>
          <w:sz w:val="32"/>
          <w:szCs w:val="32"/>
          <w:lang w:val="zh-CN"/>
        </w:rPr>
        <w:t>；农林水支出606.26万元，占</w:t>
      </w:r>
      <w:r>
        <w:rPr>
          <w:rFonts w:hint="eastAsia" w:ascii="仿宋_GB2312" w:hAnsi="仿宋_GB2312" w:eastAsia="仿宋_GB2312" w:cs="仿宋_GB2312"/>
          <w:color w:val="000000"/>
          <w:kern w:val="2"/>
          <w:sz w:val="32"/>
          <w:szCs w:val="32"/>
        </w:rPr>
        <w:t>15.21</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；交通运输支出98.31万元，占</w:t>
      </w:r>
      <w:r>
        <w:rPr>
          <w:rFonts w:hint="eastAsia" w:ascii="仿宋_GB2312" w:hAnsi="仿宋_GB2312" w:eastAsia="仿宋_GB2312" w:cs="仿宋_GB2312"/>
          <w:color w:val="000000"/>
          <w:kern w:val="2"/>
          <w:sz w:val="32"/>
          <w:szCs w:val="32"/>
        </w:rPr>
        <w:t>2.47%；</w:t>
      </w:r>
      <w:r>
        <w:rPr>
          <w:rFonts w:hint="eastAsia" w:ascii="仿宋_GB2312" w:hAnsi="仿宋_GB2312" w:eastAsia="仿宋_GB2312" w:cs="仿宋_GB2312"/>
          <w:color w:val="000000"/>
          <w:kern w:val="2"/>
          <w:sz w:val="32"/>
          <w:szCs w:val="32"/>
          <w:lang w:val="zh-CN"/>
        </w:rPr>
        <w:t>住房保障支出109.47万元，占</w:t>
      </w:r>
      <w:r>
        <w:rPr>
          <w:rFonts w:ascii="仿宋_GB2312" w:hAnsi="仿宋_GB2312" w:eastAsia="仿宋_GB2312" w:cs="仿宋_GB2312"/>
          <w:color w:val="000000"/>
          <w:kern w:val="2"/>
          <w:sz w:val="32"/>
          <w:szCs w:val="32"/>
          <w:lang w:val="zh-CN"/>
        </w:rPr>
        <w:t>2.</w:t>
      </w:r>
      <w:r>
        <w:rPr>
          <w:rFonts w:hint="eastAsia" w:ascii="仿宋_GB2312" w:hAnsi="仿宋_GB2312" w:eastAsia="仿宋_GB2312" w:cs="仿宋_GB2312"/>
          <w:color w:val="000000"/>
          <w:kern w:val="2"/>
          <w:sz w:val="32"/>
          <w:szCs w:val="32"/>
        </w:rPr>
        <w:t>74</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；灾害防治及应急管理支出1263.2</w:t>
      </w:r>
      <w:r>
        <w:rPr>
          <w:rFonts w:hint="eastAsia" w:ascii="仿宋_GB2312" w:hAnsi="仿宋_GB2312" w:eastAsia="仿宋_GB2312" w:cs="仿宋_GB2312"/>
          <w:color w:val="000000"/>
          <w:kern w:val="2"/>
          <w:sz w:val="32"/>
          <w:szCs w:val="32"/>
        </w:rPr>
        <w:t>0</w:t>
      </w:r>
      <w:r>
        <w:rPr>
          <w:rFonts w:hint="eastAsia" w:ascii="仿宋_GB2312" w:hAnsi="仿宋_GB2312" w:eastAsia="仿宋_GB2312" w:cs="仿宋_GB2312"/>
          <w:color w:val="000000"/>
          <w:kern w:val="2"/>
          <w:sz w:val="32"/>
          <w:szCs w:val="32"/>
          <w:lang w:val="zh-CN"/>
        </w:rPr>
        <w:t>万元，占</w:t>
      </w:r>
      <w:r>
        <w:rPr>
          <w:rFonts w:hint="eastAsia" w:ascii="仿宋_GB2312" w:hAnsi="仿宋_GB2312" w:eastAsia="仿宋_GB2312" w:cs="仿宋_GB2312"/>
          <w:color w:val="000000"/>
          <w:kern w:val="2"/>
          <w:sz w:val="32"/>
          <w:szCs w:val="32"/>
        </w:rPr>
        <w:t>31.69%</w:t>
      </w:r>
      <w:r>
        <w:rPr>
          <w:rFonts w:hint="eastAsia" w:ascii="仿宋_GB2312" w:hAnsi="仿宋_GB2312" w:eastAsia="仿宋_GB2312" w:cs="仿宋_GB2312"/>
          <w:color w:val="000000"/>
          <w:kern w:val="2"/>
          <w:sz w:val="32"/>
          <w:szCs w:val="32"/>
          <w:lang w:val="zh-CN"/>
        </w:rPr>
        <w:t>。</w:t>
      </w:r>
    </w:p>
    <w:p>
      <w:pPr>
        <w:spacing w:line="600" w:lineRule="exact"/>
        <w:ind w:firstLine="640"/>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w:t>
      </w:r>
      <w:r>
        <w:rPr>
          <w:rFonts w:ascii="仿宋" w:hAnsi="仿宋" w:eastAsia="仿宋" w:cs="仿宋"/>
          <w:b/>
          <w:bCs/>
          <w:kern w:val="2"/>
          <w:sz w:val="32"/>
          <w:szCs w:val="32"/>
        </w:rPr>
        <w:t>01-1</w:t>
      </w:r>
      <w:r>
        <w:rPr>
          <w:rFonts w:hint="eastAsia" w:ascii="仿宋" w:hAnsi="仿宋" w:eastAsia="仿宋" w:cs="仿宋"/>
          <w:b/>
          <w:bCs/>
          <w:kern w:val="2"/>
          <w:sz w:val="32"/>
          <w:szCs w:val="32"/>
        </w:rPr>
        <w:t>表，仅罗列本单位涉及的全部功能分类科目，至类级。）</w:t>
      </w:r>
    </w:p>
    <w:p>
      <w:pPr>
        <w:spacing w:line="600" w:lineRule="exact"/>
        <w:ind w:firstLine="640"/>
        <w:jc w:val="both"/>
        <w:rPr>
          <w:rFonts w:hint="eastAsia" w:ascii="仿宋" w:hAnsi="仿宋" w:eastAsia="仿宋" w:cs="仿宋"/>
          <w:kern w:val="2"/>
          <w:sz w:val="32"/>
          <w:szCs w:val="32"/>
        </w:rPr>
      </w:pPr>
      <w:r>
        <w:rPr>
          <w:rFonts w:hint="eastAsia" w:ascii="仿宋" w:hAnsi="仿宋" w:eastAsia="仿宋" w:cs="仿宋"/>
          <w:kern w:val="2"/>
          <w:sz w:val="32"/>
          <w:szCs w:val="32"/>
        </w:rPr>
        <w:t>（图</w:t>
      </w:r>
      <w:r>
        <w:rPr>
          <w:rFonts w:ascii="仿宋" w:hAnsi="仿宋" w:eastAsia="仿宋" w:cs="仿宋"/>
          <w:kern w:val="2"/>
          <w:sz w:val="32"/>
          <w:szCs w:val="32"/>
        </w:rPr>
        <w:t>6</w:t>
      </w:r>
      <w:r>
        <w:rPr>
          <w:rFonts w:hint="eastAsia" w:ascii="仿宋" w:hAnsi="仿宋" w:eastAsia="仿宋" w:cs="仿宋"/>
          <w:kern w:val="2"/>
          <w:sz w:val="32"/>
          <w:szCs w:val="32"/>
        </w:rPr>
        <w:t>：一般公共预算财政拨款支出决算结构）（饼状图）</w:t>
      </w:r>
    </w:p>
    <w:p>
      <w:pPr>
        <w:pStyle w:val="6"/>
        <w:spacing w:before="72"/>
        <w:jc w:val="center"/>
        <w:rPr>
          <w:sz w:val="30"/>
          <w:szCs w:val="30"/>
        </w:rPr>
      </w:pPr>
      <w:r>
        <w:rPr>
          <w:sz w:val="30"/>
          <w:szCs w:val="30"/>
        </w:rPr>
        <w:drawing>
          <wp:inline distT="0" distB="0" distL="0" distR="0">
            <wp:extent cx="3181985" cy="2015490"/>
            <wp:effectExtent l="0" t="0" r="0" b="3810"/>
            <wp:docPr id="4232895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89562"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190542" cy="2020927"/>
                    </a:xfrm>
                    <a:prstGeom prst="rect">
                      <a:avLst/>
                    </a:prstGeom>
                    <a:noFill/>
                    <a:ln>
                      <a:noFill/>
                    </a:ln>
                  </pic:spPr>
                </pic:pic>
              </a:graphicData>
            </a:graphic>
          </wp:inline>
        </w:drawing>
      </w:r>
    </w:p>
    <w:p>
      <w:pPr>
        <w:pStyle w:val="6"/>
        <w:numPr>
          <w:ilvl w:val="0"/>
          <w:numId w:val="1"/>
        </w:numPr>
        <w:spacing w:beforeLines="0" w:line="576" w:lineRule="exact"/>
        <w:jc w:val="center"/>
        <w:rPr>
          <w:rFonts w:hint="eastAsia" w:hAnsi="仿宋_GB2312"/>
          <w:b/>
          <w:bCs/>
          <w:color w:val="000000"/>
          <w:kern w:val="2"/>
          <w:sz w:val="32"/>
          <w:szCs w:val="32"/>
          <w:lang w:val="zh-CN"/>
        </w:rPr>
      </w:pPr>
      <w:r>
        <w:rPr>
          <w:rFonts w:hint="eastAsia" w:hAnsi="仿宋_GB2312"/>
          <w:b/>
          <w:bCs/>
          <w:color w:val="000000"/>
          <w:kern w:val="2"/>
          <w:sz w:val="32"/>
          <w:szCs w:val="32"/>
          <w:lang w:val="zh-CN"/>
        </w:rPr>
        <w:t>一般公共预算财政拨款支出决算具体情况。</w:t>
      </w:r>
    </w:p>
    <w:p>
      <w:pPr>
        <w:pStyle w:val="6"/>
        <w:spacing w:beforeLines="0" w:line="576" w:lineRule="exact"/>
        <w:ind w:firstLine="643" w:firstLineChars="200"/>
        <w:jc w:val="both"/>
        <w:rPr>
          <w:rFonts w:hint="eastAsia" w:hAnsi="仿宋_GB2312"/>
          <w:b/>
          <w:bCs/>
          <w:color w:val="000000"/>
          <w:kern w:val="2"/>
          <w:sz w:val="32"/>
          <w:szCs w:val="32"/>
          <w:lang w:val="zh-CN"/>
        </w:rPr>
      </w:pPr>
      <w:r>
        <w:rPr>
          <w:rFonts w:hAnsi="仿宋_GB2312"/>
          <w:b/>
          <w:bCs/>
          <w:color w:val="000000"/>
          <w:kern w:val="2"/>
          <w:sz w:val="32"/>
          <w:szCs w:val="32"/>
          <w:lang w:val="zh-CN"/>
        </w:rPr>
        <w:t>202</w:t>
      </w:r>
      <w:r>
        <w:rPr>
          <w:rFonts w:hint="eastAsia" w:hAnsi="仿宋_GB2312"/>
          <w:b/>
          <w:bCs/>
          <w:color w:val="000000"/>
          <w:kern w:val="2"/>
          <w:sz w:val="32"/>
          <w:szCs w:val="32"/>
        </w:rPr>
        <w:t>3</w:t>
      </w:r>
      <w:r>
        <w:rPr>
          <w:rFonts w:hint="eastAsia" w:hAnsi="仿宋_GB2312"/>
          <w:b/>
          <w:bCs/>
          <w:color w:val="000000"/>
          <w:kern w:val="2"/>
          <w:sz w:val="32"/>
          <w:szCs w:val="32"/>
          <w:lang w:val="zh-CN"/>
        </w:rPr>
        <w:t>年度一般公共预算支出决算数为3986.11万元</w:t>
      </w:r>
      <w:r>
        <w:rPr>
          <w:rFonts w:hint="eastAsia" w:hAnsi="仿宋_GB2312"/>
          <w:color w:val="000000"/>
          <w:kern w:val="2"/>
          <w:sz w:val="32"/>
          <w:szCs w:val="32"/>
          <w:lang w:val="zh-CN"/>
        </w:rPr>
        <w:t>，</w:t>
      </w:r>
      <w:r>
        <w:rPr>
          <w:rFonts w:hint="eastAsia" w:hAnsi="仿宋_GB2312"/>
          <w:b/>
          <w:bCs/>
          <w:color w:val="000000"/>
          <w:kern w:val="2"/>
          <w:sz w:val="32"/>
          <w:szCs w:val="32"/>
          <w:lang w:val="zh-CN"/>
        </w:rPr>
        <w:t>完成预算</w:t>
      </w:r>
      <w:r>
        <w:rPr>
          <w:rFonts w:hAnsi="仿宋_GB2312"/>
          <w:b/>
          <w:bCs/>
          <w:color w:val="000000"/>
          <w:kern w:val="2"/>
          <w:sz w:val="32"/>
          <w:szCs w:val="32"/>
          <w:lang w:val="zh-CN"/>
        </w:rPr>
        <w:t>100%</w:t>
      </w:r>
      <w:r>
        <w:rPr>
          <w:rFonts w:hint="eastAsia" w:hAnsi="仿宋_GB2312"/>
          <w:b/>
          <w:bCs/>
          <w:color w:val="000000"/>
          <w:kern w:val="2"/>
          <w:sz w:val="32"/>
          <w:szCs w:val="32"/>
          <w:lang w:val="zh-CN"/>
        </w:rPr>
        <w:t>。其中：</w:t>
      </w:r>
    </w:p>
    <w:p>
      <w:pPr>
        <w:pStyle w:val="6"/>
        <w:spacing w:beforeLines="0" w:line="560" w:lineRule="exact"/>
        <w:ind w:left="120" w:leftChars="50" w:firstLine="643" w:firstLineChars="200"/>
        <w:rPr>
          <w:rFonts w:hint="eastAsia" w:hAnsi="仿宋_GB2312"/>
          <w:sz w:val="30"/>
          <w:szCs w:val="30"/>
        </w:rPr>
      </w:pPr>
      <w:r>
        <w:rPr>
          <w:rFonts w:hint="eastAsia" w:hAnsi="仿宋_GB2312"/>
          <w:b/>
          <w:bCs/>
          <w:color w:val="000000"/>
          <w:kern w:val="2"/>
          <w:sz w:val="32"/>
          <w:szCs w:val="32"/>
        </w:rPr>
        <w:t>1.一般公共服务支出（类）政府办公厅及相关机构事务（款）行政运行（项）:</w:t>
      </w:r>
      <w:r>
        <w:rPr>
          <w:rFonts w:hint="eastAsia" w:hAnsi="仿宋_GB2312"/>
          <w:color w:val="000000"/>
          <w:kern w:val="2"/>
          <w:sz w:val="32"/>
          <w:szCs w:val="32"/>
        </w:rPr>
        <w:t xml:space="preserve"> </w:t>
      </w:r>
      <w:r>
        <w:rPr>
          <w:rFonts w:hint="eastAsia" w:hAnsi="仿宋_GB2312"/>
          <w:kern w:val="2"/>
          <w:sz w:val="32"/>
          <w:szCs w:val="32"/>
        </w:rPr>
        <w:t>支出决算为505.98万元，完成预算100%；</w:t>
      </w:r>
      <w:r>
        <w:rPr>
          <w:rFonts w:hint="eastAsia" w:hAnsi="仿宋_GB2312"/>
          <w:b/>
          <w:bCs/>
          <w:color w:val="000000"/>
          <w:kern w:val="2"/>
          <w:sz w:val="32"/>
          <w:szCs w:val="32"/>
        </w:rPr>
        <w:t>政府办公厅及相关机构事务（款）事业运行（项）:</w:t>
      </w:r>
      <w:r>
        <w:rPr>
          <w:rFonts w:hint="eastAsia" w:hAnsi="仿宋_GB2312"/>
          <w:color w:val="000000"/>
          <w:kern w:val="2"/>
          <w:sz w:val="32"/>
          <w:szCs w:val="32"/>
        </w:rPr>
        <w:t xml:space="preserve"> </w:t>
      </w:r>
      <w:r>
        <w:rPr>
          <w:rFonts w:hint="eastAsia" w:hAnsi="仿宋_GB2312"/>
          <w:kern w:val="2"/>
          <w:sz w:val="32"/>
          <w:szCs w:val="32"/>
        </w:rPr>
        <w:t>支出决算为142.46万元，完成预算100%。</w:t>
      </w:r>
    </w:p>
    <w:p>
      <w:pPr>
        <w:pStyle w:val="6"/>
        <w:spacing w:beforeLines="0" w:line="560" w:lineRule="exact"/>
        <w:ind w:left="120" w:leftChars="50" w:firstLine="643" w:firstLineChars="200"/>
        <w:rPr>
          <w:rFonts w:hint="eastAsia" w:hAnsi="仿宋_GB2312"/>
          <w:b/>
          <w:bCs/>
          <w:color w:val="000000"/>
          <w:kern w:val="2"/>
          <w:sz w:val="32"/>
          <w:szCs w:val="32"/>
        </w:rPr>
      </w:pPr>
      <w:r>
        <w:rPr>
          <w:rFonts w:hint="eastAsia" w:hAnsi="仿宋_GB2312"/>
          <w:b/>
          <w:bCs/>
          <w:color w:val="000000"/>
          <w:kern w:val="2"/>
          <w:sz w:val="32"/>
          <w:szCs w:val="32"/>
        </w:rPr>
        <w:t>2.教育支出（类）教育管理事务（款）行政运行（项）：</w:t>
      </w:r>
      <w:r>
        <w:rPr>
          <w:rFonts w:hint="eastAsia" w:hAnsi="仿宋_GB2312"/>
          <w:kern w:val="2"/>
          <w:sz w:val="32"/>
          <w:szCs w:val="32"/>
        </w:rPr>
        <w:t>支出决算为57.28万元，完成预算100%；</w:t>
      </w:r>
      <w:r>
        <w:rPr>
          <w:rFonts w:hint="eastAsia" w:hAnsi="仿宋_GB2312"/>
          <w:b/>
          <w:bCs/>
          <w:color w:val="000000"/>
          <w:kern w:val="2"/>
          <w:sz w:val="32"/>
          <w:szCs w:val="32"/>
        </w:rPr>
        <w:t>普通教育（款）小学教育（项）:</w:t>
      </w:r>
      <w:r>
        <w:rPr>
          <w:rFonts w:hint="eastAsia" w:hAnsi="仿宋_GB2312"/>
          <w:kern w:val="2"/>
          <w:sz w:val="32"/>
          <w:szCs w:val="32"/>
        </w:rPr>
        <w:t>支出决算为7.68万元，完成预算100%。</w:t>
      </w:r>
    </w:p>
    <w:p>
      <w:pPr>
        <w:pStyle w:val="6"/>
        <w:spacing w:beforeLines="0" w:line="560" w:lineRule="exact"/>
        <w:ind w:left="120" w:leftChars="50" w:firstLine="643" w:firstLineChars="200"/>
        <w:rPr>
          <w:rFonts w:hint="eastAsia" w:hAnsi="仿宋_GB2312"/>
          <w:b/>
          <w:bCs/>
          <w:color w:val="000000"/>
          <w:kern w:val="2"/>
          <w:sz w:val="32"/>
          <w:szCs w:val="32"/>
        </w:rPr>
      </w:pPr>
      <w:r>
        <w:rPr>
          <w:rFonts w:hint="eastAsia" w:hAnsi="仿宋_GB2312"/>
          <w:b/>
          <w:bCs/>
          <w:color w:val="000000"/>
          <w:kern w:val="2"/>
          <w:sz w:val="32"/>
          <w:szCs w:val="32"/>
        </w:rPr>
        <w:t>3.社会保障和就业支出（类）民政管理事务（款）行政运行（项）：</w:t>
      </w:r>
      <w:r>
        <w:rPr>
          <w:rFonts w:hint="eastAsia" w:hAnsi="仿宋_GB2312"/>
          <w:kern w:val="2"/>
          <w:sz w:val="32"/>
          <w:szCs w:val="32"/>
        </w:rPr>
        <w:t>支出决算为101.39万元，完成预算100%；</w:t>
      </w:r>
      <w:r>
        <w:rPr>
          <w:rFonts w:hint="eastAsia" w:hAnsi="仿宋_GB2312"/>
          <w:b/>
          <w:bCs/>
          <w:color w:val="000000"/>
          <w:kern w:val="2"/>
          <w:sz w:val="32"/>
          <w:szCs w:val="32"/>
        </w:rPr>
        <w:t>民政管理事务（款）其他民政管理事务支出（项）：</w:t>
      </w:r>
      <w:r>
        <w:rPr>
          <w:rFonts w:hint="eastAsia" w:hAnsi="仿宋_GB2312"/>
          <w:kern w:val="2"/>
          <w:sz w:val="32"/>
          <w:szCs w:val="32"/>
        </w:rPr>
        <w:t>支出决算为95.86万元，完成预算100%；</w:t>
      </w:r>
      <w:r>
        <w:rPr>
          <w:rFonts w:hint="eastAsia" w:hAnsi="仿宋_GB2312"/>
          <w:b/>
          <w:bCs/>
          <w:color w:val="000000"/>
          <w:kern w:val="2"/>
          <w:sz w:val="32"/>
          <w:szCs w:val="32"/>
        </w:rPr>
        <w:t>行政事业单位养老支出（款）机关事业单位基本养老保险缴费支出（项）:</w:t>
      </w:r>
      <w:r>
        <w:rPr>
          <w:rFonts w:hint="eastAsia" w:hAnsi="仿宋_GB2312"/>
          <w:kern w:val="2"/>
          <w:sz w:val="32"/>
          <w:szCs w:val="32"/>
        </w:rPr>
        <w:t>支出决算为146.81万元，完成预算100%。</w:t>
      </w:r>
    </w:p>
    <w:p>
      <w:pPr>
        <w:pStyle w:val="6"/>
        <w:spacing w:beforeLines="0" w:line="560" w:lineRule="exact"/>
        <w:ind w:left="120" w:leftChars="50" w:firstLine="643" w:firstLineChars="200"/>
        <w:rPr>
          <w:rFonts w:hint="eastAsia" w:hAnsi="仿宋_GB2312"/>
          <w:b/>
          <w:bCs/>
          <w:color w:val="000000"/>
          <w:kern w:val="2"/>
          <w:sz w:val="32"/>
          <w:szCs w:val="32"/>
        </w:rPr>
      </w:pPr>
      <w:r>
        <w:rPr>
          <w:rFonts w:hint="eastAsia" w:hAnsi="仿宋_GB2312"/>
          <w:b/>
          <w:bCs/>
          <w:color w:val="000000"/>
          <w:kern w:val="2"/>
          <w:sz w:val="32"/>
          <w:szCs w:val="32"/>
        </w:rPr>
        <w:t>4.卫生健康支出（类）卫生健康管理事务（款）行政运行（项）：</w:t>
      </w:r>
      <w:r>
        <w:rPr>
          <w:rFonts w:hint="eastAsia" w:hAnsi="仿宋_GB2312"/>
          <w:kern w:val="2"/>
          <w:sz w:val="32"/>
          <w:szCs w:val="32"/>
        </w:rPr>
        <w:t>支出决算为761.23万元，完成预算100%；</w:t>
      </w:r>
      <w:r>
        <w:rPr>
          <w:rFonts w:hint="eastAsia" w:hAnsi="仿宋_GB2312"/>
          <w:b/>
          <w:bCs/>
          <w:color w:val="000000"/>
          <w:kern w:val="2"/>
          <w:sz w:val="32"/>
          <w:szCs w:val="32"/>
        </w:rPr>
        <w:t>行政事业单位医疗（款）行政单位医疗（项）:</w:t>
      </w:r>
      <w:r>
        <w:rPr>
          <w:rFonts w:hint="eastAsia" w:hAnsi="仿宋_GB2312"/>
          <w:kern w:val="2"/>
          <w:sz w:val="32"/>
          <w:szCs w:val="32"/>
        </w:rPr>
        <w:t>支出决算为21.24万元，完成预算100%；</w:t>
      </w:r>
      <w:r>
        <w:rPr>
          <w:rFonts w:hint="eastAsia" w:hAnsi="仿宋_GB2312"/>
          <w:b/>
          <w:bCs/>
          <w:color w:val="000000"/>
          <w:kern w:val="2"/>
          <w:sz w:val="32"/>
          <w:szCs w:val="32"/>
        </w:rPr>
        <w:t>行政事业单位医疗（款）事业单位医疗（项）:</w:t>
      </w:r>
      <w:r>
        <w:rPr>
          <w:rFonts w:hint="eastAsia" w:hAnsi="仿宋_GB2312"/>
          <w:kern w:val="2"/>
          <w:sz w:val="32"/>
          <w:szCs w:val="32"/>
        </w:rPr>
        <w:t>支出决算为21.27万元，完成预算100%；</w:t>
      </w:r>
      <w:r>
        <w:rPr>
          <w:rFonts w:hint="eastAsia" w:hAnsi="仿宋_GB2312"/>
          <w:b/>
          <w:bCs/>
          <w:color w:val="000000"/>
          <w:kern w:val="2"/>
          <w:sz w:val="32"/>
          <w:szCs w:val="32"/>
        </w:rPr>
        <w:t>行政事业单位医疗（款）公务员医疗补助（项）:</w:t>
      </w:r>
      <w:r>
        <w:rPr>
          <w:rFonts w:hint="eastAsia" w:hAnsi="仿宋_GB2312"/>
          <w:color w:val="000000"/>
          <w:kern w:val="2"/>
          <w:sz w:val="32"/>
          <w:szCs w:val="32"/>
        </w:rPr>
        <w:t>支出决算为14.52万元，完成预算100%。</w:t>
      </w:r>
    </w:p>
    <w:p>
      <w:pPr>
        <w:pStyle w:val="6"/>
        <w:spacing w:beforeLines="0" w:line="560" w:lineRule="exact"/>
        <w:ind w:left="120" w:leftChars="50" w:firstLine="643" w:firstLineChars="200"/>
        <w:rPr>
          <w:rFonts w:hint="eastAsia" w:hAnsi="仿宋_GB2312"/>
          <w:b/>
          <w:bCs/>
          <w:color w:val="000000"/>
          <w:kern w:val="2"/>
          <w:sz w:val="32"/>
          <w:szCs w:val="32"/>
        </w:rPr>
      </w:pPr>
      <w:r>
        <w:rPr>
          <w:rFonts w:hint="eastAsia" w:hAnsi="仿宋_GB2312"/>
          <w:b/>
          <w:bCs/>
          <w:color w:val="000000"/>
          <w:kern w:val="2"/>
          <w:sz w:val="32"/>
          <w:szCs w:val="32"/>
        </w:rPr>
        <w:t>5.城乡社区支出（类）城乡社区管理事务（款）其他城乡社区管理事务支出（项）:</w:t>
      </w:r>
      <w:r>
        <w:rPr>
          <w:rFonts w:hint="eastAsia" w:hAnsi="仿宋_GB2312"/>
          <w:kern w:val="2"/>
          <w:sz w:val="32"/>
          <w:szCs w:val="32"/>
        </w:rPr>
        <w:t>支出决算为33.15万元，完成预算100%。</w:t>
      </w:r>
    </w:p>
    <w:p>
      <w:pPr>
        <w:pStyle w:val="6"/>
        <w:spacing w:beforeLines="0" w:line="560" w:lineRule="exact"/>
        <w:ind w:left="120" w:leftChars="50" w:firstLine="643" w:firstLineChars="200"/>
        <w:rPr>
          <w:rFonts w:hint="eastAsia" w:hAnsi="仿宋_GB2312"/>
        </w:rPr>
      </w:pPr>
      <w:r>
        <w:rPr>
          <w:rFonts w:hint="eastAsia" w:hAnsi="仿宋_GB2312"/>
          <w:b/>
          <w:bCs/>
          <w:color w:val="000000"/>
          <w:kern w:val="2"/>
          <w:sz w:val="32"/>
          <w:szCs w:val="32"/>
        </w:rPr>
        <w:t>6.农林水支出（类）农业农村（款）</w:t>
      </w:r>
      <w:r>
        <w:rPr>
          <w:rStyle w:val="20"/>
          <w:rFonts w:hint="eastAsia" w:hAnsi="仿宋_GB2312" w:eastAsia="仿宋_GB2312"/>
          <w:color w:val="000000"/>
          <w:sz w:val="32"/>
          <w:szCs w:val="32"/>
        </w:rPr>
        <w:t>行政运行（项）:</w:t>
      </w:r>
      <w:r>
        <w:rPr>
          <w:rStyle w:val="20"/>
          <w:rFonts w:hint="eastAsia" w:hAnsi="仿宋_GB2312" w:eastAsia="仿宋_GB2312"/>
          <w:b w:val="0"/>
          <w:bCs w:val="0"/>
          <w:color w:val="000000"/>
          <w:sz w:val="32"/>
          <w:szCs w:val="32"/>
        </w:rPr>
        <w:t>支出决算为11.9万元，完成预算100%；</w:t>
      </w:r>
      <w:r>
        <w:rPr>
          <w:rFonts w:hint="eastAsia" w:hAnsi="仿宋_GB2312"/>
          <w:b/>
          <w:bCs/>
          <w:color w:val="000000"/>
          <w:kern w:val="2"/>
          <w:sz w:val="32"/>
          <w:szCs w:val="32"/>
        </w:rPr>
        <w:t>农业农村（款）事业</w:t>
      </w:r>
      <w:r>
        <w:rPr>
          <w:rStyle w:val="20"/>
          <w:rFonts w:hint="eastAsia" w:hAnsi="仿宋_GB2312" w:eastAsia="仿宋_GB2312"/>
          <w:color w:val="000000"/>
          <w:sz w:val="32"/>
          <w:szCs w:val="32"/>
        </w:rPr>
        <w:t>运行（项）:</w:t>
      </w:r>
      <w:r>
        <w:rPr>
          <w:rStyle w:val="20"/>
          <w:rFonts w:hint="eastAsia" w:hAnsi="仿宋_GB2312" w:eastAsia="仿宋_GB2312"/>
          <w:b w:val="0"/>
          <w:bCs w:val="0"/>
          <w:color w:val="000000"/>
          <w:sz w:val="32"/>
          <w:szCs w:val="32"/>
        </w:rPr>
        <w:t>支出决算为117.62万元，完成预算100%；</w:t>
      </w:r>
      <w:r>
        <w:rPr>
          <w:rFonts w:hint="eastAsia" w:hAnsi="仿宋_GB2312"/>
          <w:b/>
          <w:bCs/>
          <w:color w:val="000000"/>
          <w:kern w:val="2"/>
          <w:sz w:val="32"/>
          <w:szCs w:val="32"/>
        </w:rPr>
        <w:t>农业农村（款）对高校毕业生到基层任职补助（项）:</w:t>
      </w:r>
      <w:r>
        <w:rPr>
          <w:rFonts w:hint="eastAsia" w:hAnsi="仿宋_GB2312"/>
          <w:kern w:val="2"/>
          <w:sz w:val="32"/>
          <w:szCs w:val="32"/>
        </w:rPr>
        <w:t>支出决算为3.2万元，完成预算100%；</w:t>
      </w:r>
      <w:r>
        <w:rPr>
          <w:rFonts w:hint="eastAsia" w:hAnsi="仿宋_GB2312"/>
          <w:b/>
          <w:bCs/>
          <w:color w:val="000000"/>
          <w:kern w:val="2"/>
          <w:sz w:val="32"/>
          <w:szCs w:val="32"/>
        </w:rPr>
        <w:t>农业农村（款）其他农业农村支出（项）:</w:t>
      </w:r>
      <w:r>
        <w:rPr>
          <w:rFonts w:hint="eastAsia" w:hAnsi="仿宋_GB2312"/>
          <w:kern w:val="2"/>
          <w:sz w:val="32"/>
          <w:szCs w:val="32"/>
        </w:rPr>
        <w:t>支出决算为395.02万元，完成预算100%。</w:t>
      </w:r>
      <w:r>
        <w:rPr>
          <w:rFonts w:hint="eastAsia" w:hAnsi="仿宋_GB2312"/>
          <w:b/>
          <w:bCs/>
          <w:color w:val="000000"/>
          <w:kern w:val="2"/>
          <w:sz w:val="32"/>
          <w:szCs w:val="32"/>
        </w:rPr>
        <w:t>水利（款）行政运行（项）:</w:t>
      </w:r>
      <w:r>
        <w:rPr>
          <w:rFonts w:hint="eastAsia" w:hAnsi="仿宋_GB2312"/>
          <w:kern w:val="2"/>
          <w:sz w:val="32"/>
          <w:szCs w:val="32"/>
        </w:rPr>
        <w:t>支出决算为2.76万元，完成预算100%；</w:t>
      </w:r>
      <w:r>
        <w:rPr>
          <w:rFonts w:hint="eastAsia" w:hAnsi="仿宋_GB2312"/>
          <w:b/>
          <w:bCs/>
          <w:color w:val="000000"/>
          <w:kern w:val="2"/>
          <w:sz w:val="32"/>
          <w:szCs w:val="32"/>
        </w:rPr>
        <w:t>水利（款）其他水利支出（项）:</w:t>
      </w:r>
      <w:r>
        <w:rPr>
          <w:rFonts w:hint="eastAsia" w:hAnsi="仿宋_GB2312"/>
          <w:kern w:val="2"/>
          <w:sz w:val="32"/>
          <w:szCs w:val="32"/>
        </w:rPr>
        <w:t>支出决算为10.5万元，完成预算100%；</w:t>
      </w:r>
      <w:r>
        <w:rPr>
          <w:rFonts w:hint="eastAsia" w:hAnsi="仿宋_GB2312"/>
          <w:b/>
          <w:bCs/>
          <w:color w:val="000000"/>
          <w:kern w:val="2"/>
          <w:sz w:val="32"/>
          <w:szCs w:val="32"/>
        </w:rPr>
        <w:t>巩固</w:t>
      </w:r>
      <w:r>
        <w:rPr>
          <w:rFonts w:hint="eastAsia" w:hAnsi="仿宋_GB2312"/>
          <w:b/>
          <w:bCs/>
          <w:color w:val="000000"/>
          <w:kern w:val="2"/>
          <w:sz w:val="32"/>
          <w:szCs w:val="32"/>
          <w:lang w:eastAsia="zh-CN"/>
        </w:rPr>
        <w:t>拓展</w:t>
      </w:r>
      <w:r>
        <w:rPr>
          <w:rFonts w:hint="eastAsia" w:hAnsi="仿宋_GB2312"/>
          <w:b/>
          <w:bCs/>
          <w:color w:val="000000"/>
          <w:kern w:val="2"/>
          <w:sz w:val="32"/>
          <w:szCs w:val="32"/>
        </w:rPr>
        <w:t>脱贫攻坚成果衔接乡村振兴（款）行政运行（项）:</w:t>
      </w:r>
      <w:r>
        <w:rPr>
          <w:rFonts w:hint="eastAsia" w:hAnsi="仿宋_GB2312"/>
          <w:kern w:val="2"/>
          <w:sz w:val="32"/>
          <w:szCs w:val="32"/>
        </w:rPr>
        <w:t>支出决算为31.3万元，完成预算100%；</w:t>
      </w:r>
      <w:r>
        <w:rPr>
          <w:rFonts w:hint="eastAsia" w:hAnsi="仿宋_GB2312"/>
          <w:b/>
          <w:bCs/>
          <w:color w:val="000000"/>
          <w:kern w:val="2"/>
          <w:sz w:val="32"/>
          <w:szCs w:val="32"/>
        </w:rPr>
        <w:t>巩固</w:t>
      </w:r>
      <w:r>
        <w:rPr>
          <w:rFonts w:hint="eastAsia" w:hAnsi="仿宋_GB2312"/>
          <w:b/>
          <w:bCs/>
          <w:color w:val="000000"/>
          <w:kern w:val="2"/>
          <w:sz w:val="32"/>
          <w:szCs w:val="32"/>
          <w:lang w:eastAsia="zh-CN"/>
        </w:rPr>
        <w:t>拓展</w:t>
      </w:r>
      <w:r>
        <w:rPr>
          <w:rFonts w:hint="eastAsia" w:hAnsi="仿宋_GB2312"/>
          <w:b/>
          <w:bCs/>
          <w:color w:val="000000"/>
          <w:kern w:val="2"/>
          <w:sz w:val="32"/>
          <w:szCs w:val="32"/>
        </w:rPr>
        <w:t>脱贫攻坚成果衔接乡村振兴（款）事业运行（项）:</w:t>
      </w:r>
      <w:r>
        <w:rPr>
          <w:rFonts w:hint="eastAsia" w:hAnsi="仿宋_GB2312"/>
          <w:kern w:val="2"/>
          <w:sz w:val="32"/>
          <w:szCs w:val="32"/>
        </w:rPr>
        <w:t>支出决算为19.16万元，完成预算100%；</w:t>
      </w:r>
      <w:r>
        <w:rPr>
          <w:rFonts w:hint="eastAsia" w:hAnsi="仿宋_GB2312"/>
          <w:b/>
          <w:bCs/>
          <w:color w:val="000000"/>
          <w:kern w:val="2"/>
          <w:sz w:val="32"/>
          <w:szCs w:val="32"/>
        </w:rPr>
        <w:t>农村综合改革（款）其他农村综合改革支出（项）:</w:t>
      </w:r>
      <w:r>
        <w:rPr>
          <w:rFonts w:hint="eastAsia" w:hAnsi="仿宋_GB2312"/>
          <w:kern w:val="2"/>
          <w:sz w:val="32"/>
          <w:szCs w:val="32"/>
        </w:rPr>
        <w:t>支出决算为14.8万元，完成预算100%。</w:t>
      </w:r>
    </w:p>
    <w:p>
      <w:pPr>
        <w:pStyle w:val="6"/>
        <w:spacing w:beforeLines="0" w:line="576" w:lineRule="exact"/>
        <w:ind w:left="120" w:leftChars="50" w:firstLine="643" w:firstLineChars="200"/>
        <w:rPr>
          <w:rStyle w:val="20"/>
          <w:rFonts w:hint="eastAsia" w:hAnsi="仿宋_GB2312" w:eastAsia="仿宋_GB2312"/>
          <w:b w:val="0"/>
          <w:bCs w:val="0"/>
          <w:color w:val="000000"/>
          <w:sz w:val="32"/>
          <w:szCs w:val="32"/>
        </w:rPr>
      </w:pPr>
      <w:r>
        <w:rPr>
          <w:rStyle w:val="20"/>
          <w:rFonts w:hint="eastAsia" w:hAnsi="仿宋_GB2312" w:eastAsia="仿宋_GB2312"/>
          <w:color w:val="000000"/>
          <w:sz w:val="32"/>
          <w:szCs w:val="32"/>
        </w:rPr>
        <w:t>7.交通运输支出（类）公路水路运输（款）行政运行（项）:</w:t>
      </w:r>
      <w:r>
        <w:rPr>
          <w:rStyle w:val="20"/>
          <w:rFonts w:hint="eastAsia" w:hAnsi="仿宋_GB2312" w:eastAsia="仿宋_GB2312"/>
          <w:b w:val="0"/>
          <w:bCs w:val="0"/>
          <w:color w:val="000000"/>
          <w:sz w:val="32"/>
          <w:szCs w:val="32"/>
        </w:rPr>
        <w:t>支出决算为45.66万元，完成预算100%；</w:t>
      </w:r>
      <w:r>
        <w:rPr>
          <w:rStyle w:val="20"/>
          <w:rFonts w:hint="eastAsia" w:hAnsi="仿宋_GB2312" w:eastAsia="仿宋_GB2312"/>
          <w:color w:val="000000"/>
          <w:sz w:val="32"/>
          <w:szCs w:val="32"/>
        </w:rPr>
        <w:t>公路水路运输（款）其他公路水路运输支出（项）:</w:t>
      </w:r>
      <w:r>
        <w:rPr>
          <w:rStyle w:val="20"/>
          <w:rFonts w:hint="eastAsia" w:hAnsi="仿宋_GB2312" w:eastAsia="仿宋_GB2312"/>
          <w:b w:val="0"/>
          <w:bCs w:val="0"/>
          <w:color w:val="000000"/>
          <w:sz w:val="32"/>
          <w:szCs w:val="32"/>
        </w:rPr>
        <w:t>支出决算为52.65万元，完成预算100%。</w:t>
      </w:r>
    </w:p>
    <w:p>
      <w:pPr>
        <w:pStyle w:val="6"/>
        <w:spacing w:beforeLines="0" w:line="576" w:lineRule="exact"/>
        <w:ind w:left="120" w:leftChars="50" w:firstLine="643" w:firstLineChars="200"/>
        <w:rPr>
          <w:rFonts w:hint="eastAsia" w:hAnsi="仿宋_GB2312"/>
          <w:b/>
          <w:bCs/>
          <w:kern w:val="2"/>
          <w:sz w:val="32"/>
          <w:szCs w:val="32"/>
        </w:rPr>
      </w:pPr>
      <w:r>
        <w:rPr>
          <w:rStyle w:val="20"/>
          <w:rFonts w:hint="eastAsia" w:hAnsi="仿宋_GB2312" w:eastAsia="仿宋_GB2312"/>
          <w:color w:val="000000"/>
          <w:sz w:val="32"/>
          <w:szCs w:val="32"/>
        </w:rPr>
        <w:t>8.住房保障支出（类）住房改革支出（款）住房公积金（项）:</w:t>
      </w:r>
      <w:r>
        <w:rPr>
          <w:rStyle w:val="20"/>
          <w:rFonts w:hint="eastAsia" w:hAnsi="仿宋_GB2312" w:eastAsia="仿宋_GB2312"/>
          <w:b w:val="0"/>
          <w:bCs w:val="0"/>
          <w:color w:val="000000"/>
          <w:sz w:val="32"/>
          <w:szCs w:val="32"/>
        </w:rPr>
        <w:t>支出决算为109.47万元，完成预算100%。</w:t>
      </w:r>
    </w:p>
    <w:p>
      <w:pPr>
        <w:pStyle w:val="6"/>
        <w:spacing w:beforeLines="0" w:line="576" w:lineRule="exact"/>
        <w:ind w:left="120" w:leftChars="50" w:firstLine="643" w:firstLineChars="200"/>
        <w:rPr>
          <w:rFonts w:hint="eastAsia" w:hAnsi="仿宋_GB2312"/>
          <w:b/>
          <w:bCs/>
          <w:kern w:val="2"/>
          <w:sz w:val="32"/>
          <w:szCs w:val="32"/>
        </w:rPr>
      </w:pPr>
      <w:r>
        <w:rPr>
          <w:rStyle w:val="20"/>
          <w:rFonts w:hint="eastAsia" w:hAnsi="仿宋_GB2312" w:eastAsia="仿宋_GB2312"/>
          <w:color w:val="000000"/>
          <w:sz w:val="32"/>
          <w:szCs w:val="32"/>
        </w:rPr>
        <w:t>9.灾害防治及应急管理支出（类）自然灾害救灾及恢复重建支出（款）其他自然灾害救灾及恢复重建支出（项）:</w:t>
      </w:r>
      <w:r>
        <w:rPr>
          <w:rStyle w:val="20"/>
          <w:rFonts w:hint="eastAsia" w:hAnsi="仿宋_GB2312" w:eastAsia="仿宋_GB2312"/>
          <w:b w:val="0"/>
          <w:bCs w:val="0"/>
          <w:color w:val="000000"/>
          <w:sz w:val="32"/>
          <w:szCs w:val="32"/>
        </w:rPr>
        <w:t>支出决算为1263.2万元，完成预算100%。</w:t>
      </w:r>
    </w:p>
    <w:p>
      <w:pPr>
        <w:spacing w:line="600" w:lineRule="exact"/>
        <w:ind w:firstLine="643"/>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w:t>
      </w:r>
      <w:r>
        <w:rPr>
          <w:rFonts w:ascii="仿宋" w:hAnsi="仿宋" w:eastAsia="仿宋" w:cs="仿宋"/>
          <w:b/>
          <w:bCs/>
          <w:kern w:val="2"/>
          <w:sz w:val="32"/>
          <w:szCs w:val="32"/>
        </w:rPr>
        <w:t>01-1</w:t>
      </w:r>
      <w:r>
        <w:rPr>
          <w:rFonts w:hint="eastAsia" w:ascii="仿宋" w:hAnsi="仿宋" w:eastAsia="仿宋" w:cs="仿宋"/>
          <w:b/>
          <w:bCs/>
          <w:kern w:val="2"/>
          <w:sz w:val="32"/>
          <w:szCs w:val="32"/>
        </w:rPr>
        <w:t>表和财决</w:t>
      </w:r>
      <w:r>
        <w:rPr>
          <w:rFonts w:ascii="仿宋" w:hAnsi="仿宋" w:eastAsia="仿宋" w:cs="仿宋"/>
          <w:b/>
          <w:bCs/>
          <w:kern w:val="2"/>
          <w:sz w:val="32"/>
          <w:szCs w:val="32"/>
        </w:rPr>
        <w:t>08</w:t>
      </w:r>
      <w:r>
        <w:rPr>
          <w:rFonts w:hint="eastAsia" w:ascii="仿宋" w:hAnsi="仿宋" w:eastAsia="仿宋" w:cs="仿宋"/>
          <w:b/>
          <w:bCs/>
          <w:kern w:val="2"/>
          <w:sz w:val="32"/>
          <w:szCs w:val="32"/>
        </w:rPr>
        <w:t>表，仅罗列本单位涉及的全部功能分类科目，至项级。上述“预算”口径为全年预算数。增减变动原因为决算数</w:t>
      </w:r>
      <w:r>
        <w:rPr>
          <w:rFonts w:ascii="仿宋" w:hAnsi="仿宋" w:eastAsia="仿宋" w:cs="仿宋"/>
          <w:b/>
          <w:bCs/>
          <w:kern w:val="2"/>
          <w:sz w:val="32"/>
          <w:szCs w:val="32"/>
        </w:rPr>
        <w:t>&lt;</w:t>
      </w:r>
      <w:r>
        <w:rPr>
          <w:rFonts w:hint="eastAsia" w:ascii="仿宋" w:hAnsi="仿宋" w:eastAsia="仿宋" w:cs="仿宋"/>
          <w:b/>
          <w:bCs/>
          <w:kern w:val="2"/>
          <w:sz w:val="32"/>
          <w:szCs w:val="32"/>
        </w:rPr>
        <w:t>项级</w:t>
      </w:r>
      <w:r>
        <w:rPr>
          <w:rFonts w:ascii="仿宋" w:hAnsi="仿宋" w:eastAsia="仿宋" w:cs="仿宋"/>
          <w:b/>
          <w:bCs/>
          <w:kern w:val="2"/>
          <w:sz w:val="32"/>
          <w:szCs w:val="32"/>
        </w:rPr>
        <w:t>&gt;</w:t>
      </w:r>
      <w:r>
        <w:rPr>
          <w:rFonts w:hint="eastAsia" w:ascii="仿宋" w:hAnsi="仿宋" w:eastAsia="仿宋" w:cs="仿宋"/>
          <w:b/>
          <w:bCs/>
          <w:kern w:val="2"/>
          <w:sz w:val="32"/>
          <w:szCs w:val="32"/>
        </w:rPr>
        <w:t>和全年预算数</w:t>
      </w:r>
      <w:r>
        <w:rPr>
          <w:rFonts w:ascii="仿宋" w:hAnsi="仿宋" w:eastAsia="仿宋" w:cs="仿宋"/>
          <w:b/>
          <w:bCs/>
          <w:kern w:val="2"/>
          <w:sz w:val="32"/>
          <w:szCs w:val="32"/>
        </w:rPr>
        <w:t>&lt;</w:t>
      </w:r>
      <w:r>
        <w:rPr>
          <w:rFonts w:hint="eastAsia" w:ascii="仿宋" w:hAnsi="仿宋" w:eastAsia="仿宋" w:cs="仿宋"/>
          <w:b/>
          <w:bCs/>
          <w:kern w:val="2"/>
          <w:sz w:val="32"/>
          <w:szCs w:val="32"/>
        </w:rPr>
        <w:t>项级</w:t>
      </w:r>
      <w:r>
        <w:rPr>
          <w:rFonts w:ascii="仿宋" w:hAnsi="仿宋" w:eastAsia="仿宋" w:cs="仿宋"/>
          <w:b/>
          <w:bCs/>
          <w:kern w:val="2"/>
          <w:sz w:val="32"/>
          <w:szCs w:val="32"/>
        </w:rPr>
        <w:t>&gt;</w:t>
      </w:r>
      <w:r>
        <w:rPr>
          <w:rFonts w:hint="eastAsia" w:ascii="仿宋" w:hAnsi="仿宋" w:eastAsia="仿宋" w:cs="仿宋"/>
          <w:b/>
          <w:bCs/>
          <w:kern w:val="2"/>
          <w:sz w:val="32"/>
          <w:szCs w:val="32"/>
        </w:rPr>
        <w:t>比较，与预算数持平可以不写原因。）</w:t>
      </w:r>
    </w:p>
    <w:p>
      <w:pPr>
        <w:pStyle w:val="4"/>
        <w:spacing w:line="576" w:lineRule="exact"/>
        <w:ind w:firstLine="640" w:firstLineChars="200"/>
        <w:rPr>
          <w:rFonts w:hint="eastAsia" w:ascii="黑体" w:hAnsi="黑体" w:eastAsia="黑体" w:cs="黑体"/>
          <w:sz w:val="32"/>
          <w:szCs w:val="32"/>
          <w:lang w:val="zh-CN"/>
        </w:rPr>
      </w:pPr>
      <w:bookmarkStart w:id="9" w:name="_Toc148450363"/>
      <w:r>
        <w:rPr>
          <w:rFonts w:hint="eastAsia" w:ascii="黑体" w:hAnsi="黑体" w:eastAsia="黑体" w:cs="黑体"/>
          <w:sz w:val="32"/>
          <w:szCs w:val="32"/>
          <w:lang w:val="zh-CN"/>
        </w:rPr>
        <w:t>六、一般公共预算财政拨款基本支出决算情况说明</w:t>
      </w:r>
      <w:bookmarkEnd w:id="9"/>
      <w:r>
        <w:rPr>
          <w:rFonts w:ascii="黑体" w:hAnsi="黑体" w:eastAsia="黑体" w:cs="黑体"/>
          <w:sz w:val="32"/>
          <w:szCs w:val="32"/>
          <w:lang w:val="zh-CN"/>
        </w:rPr>
        <w:tab/>
      </w:r>
    </w:p>
    <w:p>
      <w:pPr>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年度一般公共预算财政拨款基本支出2316.39万元，其中：</w:t>
      </w:r>
    </w:p>
    <w:p>
      <w:pPr>
        <w:spacing w:line="576" w:lineRule="exact"/>
        <w:ind w:firstLine="643"/>
        <w:jc w:val="both"/>
        <w:rPr>
          <w:rFonts w:hint="eastAsia" w:ascii="仿宋_GB2312" w:hAnsi="仿宋_GB2312" w:eastAsia="仿宋_GB2312" w:cs="仿宋_GB2312"/>
          <w:color w:val="000000"/>
          <w:kern w:val="2"/>
          <w:sz w:val="32"/>
          <w:szCs w:val="32"/>
          <w:lang w:val="zh-CN"/>
        </w:rPr>
      </w:pPr>
      <w:r>
        <w:rPr>
          <w:rFonts w:hint="eastAsia" w:ascii="仿宋_GB2312" w:hAnsi="仿宋_GB2312" w:eastAsia="仿宋_GB2312" w:cs="仿宋_GB2312"/>
          <w:b/>
          <w:bCs/>
          <w:color w:val="000000"/>
          <w:kern w:val="2"/>
          <w:sz w:val="32"/>
          <w:szCs w:val="32"/>
          <w:lang w:val="zh-CN"/>
        </w:rPr>
        <w:t>人员经费</w:t>
      </w:r>
      <w:r>
        <w:rPr>
          <w:rFonts w:hint="eastAsia" w:ascii="仿宋_GB2312" w:hAnsi="仿宋_GB2312" w:eastAsia="仿宋_GB2312" w:cs="仿宋_GB2312"/>
          <w:color w:val="000000"/>
          <w:kern w:val="2"/>
          <w:sz w:val="32"/>
          <w:szCs w:val="32"/>
          <w:lang w:val="zh-CN"/>
        </w:rPr>
        <w:t>1405.38万元，主要包括：</w:t>
      </w:r>
      <w:r>
        <w:rPr>
          <w:rFonts w:hint="eastAsia" w:ascii="仿宋_GB2312" w:hAnsi="仿宋_GB2312" w:eastAsia="仿宋_GB2312" w:cs="仿宋_GB2312"/>
          <w:kern w:val="2"/>
          <w:sz w:val="32"/>
          <w:szCs w:val="32"/>
        </w:rPr>
        <w:t>基本工资、津贴补贴、奖金、奖金、绩效工资、机关事业单位基本养老保险缴费、职工基本医疗保险缴费、公务员医疗补助缴费、其他社会保障缴费、住房公积金、其他工资福利支出、奖励金等</w:t>
      </w:r>
      <w:r>
        <w:rPr>
          <w:rFonts w:hint="eastAsia" w:ascii="仿宋_GB2312" w:hAnsi="仿宋_GB2312" w:eastAsia="仿宋_GB2312" w:cs="仿宋_GB2312"/>
          <w:color w:val="000000"/>
          <w:kern w:val="2"/>
          <w:sz w:val="32"/>
          <w:szCs w:val="32"/>
          <w:lang w:val="zh-CN"/>
        </w:rPr>
        <w:t>。</w:t>
      </w:r>
    </w:p>
    <w:p>
      <w:pPr>
        <w:spacing w:line="576" w:lineRule="exact"/>
        <w:ind w:firstLine="643"/>
        <w:jc w:val="both"/>
        <w:rPr>
          <w:rFonts w:hint="eastAsia" w:ascii="仿宋_GB2312" w:hAnsi="仿宋_GB2312" w:eastAsia="仿宋_GB2312" w:cs="仿宋_GB2312"/>
          <w:color w:val="000000"/>
          <w:kern w:val="2"/>
          <w:sz w:val="32"/>
          <w:szCs w:val="32"/>
          <w:lang w:val="zh-CN"/>
        </w:rPr>
      </w:pPr>
      <w:r>
        <w:rPr>
          <w:rFonts w:hint="eastAsia" w:ascii="仿宋_GB2312" w:hAnsi="仿宋_GB2312" w:eastAsia="仿宋_GB2312" w:cs="仿宋_GB2312"/>
          <w:b/>
          <w:bCs/>
          <w:color w:val="000000"/>
          <w:kern w:val="2"/>
          <w:sz w:val="32"/>
          <w:szCs w:val="32"/>
          <w:lang w:val="zh-CN"/>
        </w:rPr>
        <w:t>公用经费</w:t>
      </w:r>
      <w:r>
        <w:rPr>
          <w:rFonts w:hint="eastAsia" w:ascii="仿宋_GB2312" w:hAnsi="仿宋_GB2312" w:eastAsia="仿宋_GB2312" w:cs="仿宋_GB2312"/>
          <w:color w:val="000000"/>
          <w:kern w:val="2"/>
          <w:sz w:val="32"/>
          <w:szCs w:val="32"/>
          <w:lang w:val="zh-CN"/>
        </w:rPr>
        <w:t>911.01万元，主要包括：</w:t>
      </w:r>
      <w:r>
        <w:rPr>
          <w:rFonts w:hint="eastAsia" w:ascii="仿宋_GB2312" w:hAnsi="仿宋_GB2312" w:eastAsia="仿宋_GB2312" w:cs="仿宋_GB2312"/>
          <w:kern w:val="2"/>
          <w:sz w:val="32"/>
          <w:szCs w:val="32"/>
        </w:rPr>
        <w:t>办公费、水费、电费、邮电费、公务接待费、公务用车运行维护费、其他交通费、其他商品和服务支出等</w:t>
      </w:r>
      <w:r>
        <w:rPr>
          <w:rFonts w:hint="eastAsia" w:ascii="仿宋_GB2312" w:hAnsi="仿宋_GB2312" w:eastAsia="仿宋_GB2312" w:cs="仿宋_GB2312"/>
          <w:color w:val="000000"/>
          <w:kern w:val="2"/>
          <w:sz w:val="32"/>
          <w:szCs w:val="32"/>
          <w:lang w:val="zh-CN"/>
        </w:rPr>
        <w:t>。</w:t>
      </w:r>
    </w:p>
    <w:p>
      <w:pPr>
        <w:spacing w:line="576" w:lineRule="exact"/>
        <w:ind w:firstLine="645"/>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w:t>
      </w:r>
      <w:r>
        <w:rPr>
          <w:rFonts w:ascii="仿宋" w:hAnsi="仿宋" w:eastAsia="仿宋" w:cs="仿宋"/>
          <w:b/>
          <w:bCs/>
          <w:kern w:val="2"/>
          <w:sz w:val="32"/>
          <w:szCs w:val="32"/>
        </w:rPr>
        <w:t>07</w:t>
      </w:r>
      <w:r>
        <w:rPr>
          <w:rFonts w:hint="eastAsia" w:ascii="仿宋" w:hAnsi="仿宋" w:eastAsia="仿宋" w:cs="仿宋"/>
          <w:b/>
          <w:bCs/>
          <w:kern w:val="2"/>
          <w:sz w:val="32"/>
          <w:szCs w:val="32"/>
        </w:rPr>
        <w:t>表和财决</w:t>
      </w:r>
      <w:r>
        <w:rPr>
          <w:rFonts w:ascii="仿宋" w:hAnsi="仿宋" w:eastAsia="仿宋" w:cs="仿宋"/>
          <w:b/>
          <w:bCs/>
          <w:kern w:val="2"/>
          <w:sz w:val="32"/>
          <w:szCs w:val="32"/>
        </w:rPr>
        <w:t>08-1</w:t>
      </w:r>
      <w:r>
        <w:rPr>
          <w:rFonts w:hint="eastAsia" w:ascii="仿宋" w:hAnsi="仿宋" w:eastAsia="仿宋" w:cs="仿宋"/>
          <w:b/>
          <w:bCs/>
          <w:kern w:val="2"/>
          <w:sz w:val="32"/>
          <w:szCs w:val="32"/>
        </w:rPr>
        <w:t>表，仅罗列本单位实际支出涉及的经济分类科目。）</w:t>
      </w:r>
    </w:p>
    <w:p>
      <w:pPr>
        <w:pStyle w:val="4"/>
        <w:numPr>
          <w:ilvl w:val="0"/>
          <w:numId w:val="2"/>
        </w:numPr>
        <w:spacing w:line="576" w:lineRule="exact"/>
        <w:ind w:firstLine="640" w:firstLineChars="200"/>
        <w:rPr>
          <w:rFonts w:hint="eastAsia" w:ascii="黑体" w:hAnsi="黑体" w:eastAsia="黑体" w:cs="黑体"/>
          <w:sz w:val="32"/>
          <w:szCs w:val="32"/>
          <w:lang w:val="zh-CN"/>
        </w:rPr>
      </w:pPr>
      <w:bookmarkStart w:id="10" w:name="_Toc148450364"/>
      <w:r>
        <w:rPr>
          <w:rFonts w:hint="eastAsia" w:ascii="黑体" w:hAnsi="黑体" w:eastAsia="黑体" w:cs="黑体"/>
          <w:sz w:val="32"/>
          <w:szCs w:val="32"/>
          <w:lang w:val="zh-CN"/>
        </w:rPr>
        <w:t>财政拨款“三公”经费支出决算情况说明</w:t>
      </w:r>
      <w:bookmarkEnd w:id="10"/>
    </w:p>
    <w:p>
      <w:pPr>
        <w:pStyle w:val="4"/>
        <w:spacing w:line="576" w:lineRule="exact"/>
        <w:ind w:firstLine="643" w:firstLineChars="200"/>
        <w:rPr>
          <w:rFonts w:hint="eastAsia" w:ascii="仿宋_GB2312" w:hAnsi="仿宋_GB2312" w:eastAsia="仿宋_GB2312" w:cs="仿宋_GB2312"/>
          <w:b/>
          <w:bCs/>
          <w:color w:val="000000"/>
          <w:kern w:val="2"/>
          <w:sz w:val="32"/>
          <w:szCs w:val="32"/>
          <w:lang w:val="zh-CN"/>
        </w:rPr>
      </w:pPr>
      <w:r>
        <w:rPr>
          <w:rFonts w:hint="eastAsia" w:ascii="仿宋_GB2312" w:hAnsi="仿宋_GB2312" w:eastAsia="仿宋_GB2312" w:cs="仿宋_GB2312"/>
          <w:b/>
          <w:bCs/>
          <w:color w:val="000000"/>
          <w:kern w:val="2"/>
          <w:sz w:val="32"/>
          <w:szCs w:val="32"/>
          <w:lang w:val="zh-CN"/>
        </w:rPr>
        <w:t>（一）“三公”经费财政拨款支出决算总体情况说明</w:t>
      </w:r>
    </w:p>
    <w:p>
      <w:pPr>
        <w:pStyle w:val="4"/>
        <w:spacing w:line="576" w:lineRule="exact"/>
        <w:ind w:firstLine="640" w:firstLineChars="200"/>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年度“三公”经费财政拨款支出决算为</w:t>
      </w:r>
      <w:r>
        <w:rPr>
          <w:rFonts w:ascii="仿宋_GB2312" w:hAnsi="仿宋_GB2312" w:eastAsia="仿宋_GB2312" w:cs="仿宋_GB2312"/>
          <w:color w:val="000000"/>
          <w:kern w:val="2"/>
          <w:sz w:val="32"/>
          <w:szCs w:val="32"/>
          <w:lang w:val="zh-CN"/>
        </w:rPr>
        <w:t>15.</w:t>
      </w:r>
      <w:r>
        <w:rPr>
          <w:rFonts w:hint="eastAsia" w:ascii="仿宋_GB2312" w:hAnsi="仿宋_GB2312" w:eastAsia="仿宋_GB2312" w:cs="仿宋_GB2312"/>
          <w:color w:val="000000"/>
          <w:kern w:val="2"/>
          <w:sz w:val="32"/>
          <w:szCs w:val="32"/>
        </w:rPr>
        <w:t>10</w:t>
      </w:r>
      <w:r>
        <w:rPr>
          <w:rFonts w:hint="eastAsia" w:ascii="仿宋_GB2312" w:hAnsi="仿宋_GB2312" w:eastAsia="仿宋_GB2312" w:cs="仿宋_GB2312"/>
          <w:color w:val="000000"/>
          <w:kern w:val="2"/>
          <w:sz w:val="32"/>
          <w:szCs w:val="32"/>
          <w:lang w:val="zh-CN"/>
        </w:rPr>
        <w:t>万元，完成预算</w:t>
      </w:r>
      <w:r>
        <w:rPr>
          <w:rFonts w:hint="eastAsia" w:ascii="仿宋_GB2312" w:hAnsi="仿宋_GB2312" w:eastAsia="仿宋_GB2312" w:cs="仿宋_GB2312"/>
          <w:color w:val="000000"/>
          <w:kern w:val="2"/>
          <w:sz w:val="32"/>
          <w:szCs w:val="32"/>
        </w:rPr>
        <w:t>100</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；较上年度减少</w:t>
      </w:r>
      <w:r>
        <w:rPr>
          <w:rFonts w:hint="eastAsia" w:ascii="仿宋_GB2312" w:hAnsi="仿宋_GB2312" w:eastAsia="仿宋_GB2312" w:cs="仿宋_GB2312"/>
          <w:color w:val="000000"/>
          <w:kern w:val="2"/>
          <w:sz w:val="32"/>
          <w:szCs w:val="32"/>
        </w:rPr>
        <w:t>0.11</w:t>
      </w:r>
      <w:r>
        <w:rPr>
          <w:rFonts w:hint="eastAsia" w:ascii="仿宋_GB2312" w:hAnsi="仿宋_GB2312" w:eastAsia="仿宋_GB2312" w:cs="仿宋_GB2312"/>
          <w:color w:val="000000"/>
          <w:kern w:val="2"/>
          <w:sz w:val="32"/>
          <w:szCs w:val="32"/>
          <w:lang w:val="zh-CN"/>
        </w:rPr>
        <w:t>万元，下降</w:t>
      </w:r>
      <w:r>
        <w:rPr>
          <w:rFonts w:hint="eastAsia" w:ascii="仿宋_GB2312" w:hAnsi="仿宋_GB2312" w:eastAsia="仿宋_GB2312" w:cs="仿宋_GB2312"/>
          <w:color w:val="000000"/>
          <w:kern w:val="2"/>
          <w:sz w:val="32"/>
          <w:szCs w:val="32"/>
        </w:rPr>
        <w:t>0.73</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。决算数小于预算数的主要原因是</w:t>
      </w:r>
      <w:r>
        <w:rPr>
          <w:rFonts w:hint="eastAsia" w:ascii="仿宋_GB2312" w:hAnsi="仿宋_GB2312" w:eastAsia="仿宋_GB2312" w:cs="仿宋_GB2312"/>
          <w:color w:val="000000"/>
          <w:sz w:val="32"/>
          <w:szCs w:val="32"/>
        </w:rPr>
        <w:t>继续认真贯彻落实中央八项规定、省委十项规定及市委、市政府十二项规定等要求，厉行节约，从严控制“三公”经费支出，全年实际支出比预算有所节约</w:t>
      </w:r>
      <w:r>
        <w:rPr>
          <w:rFonts w:hint="eastAsia" w:ascii="仿宋_GB2312" w:hAnsi="仿宋_GB2312" w:eastAsia="仿宋_GB2312" w:cs="仿宋_GB2312"/>
          <w:color w:val="000000"/>
          <w:kern w:val="2"/>
          <w:sz w:val="32"/>
          <w:szCs w:val="32"/>
          <w:lang w:val="zh-CN"/>
        </w:rPr>
        <w:t>。</w:t>
      </w:r>
    </w:p>
    <w:p>
      <w:pPr>
        <w:spacing w:line="600" w:lineRule="exact"/>
        <w:ind w:firstLine="640"/>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（注：上述“预算”口径为全年预算数，包括一般公共预算和政府性基金预算财政拨款支出决算情况。）</w:t>
      </w:r>
    </w:p>
    <w:p>
      <w:pPr>
        <w:keepNext/>
        <w:keepLines/>
        <w:spacing w:line="576" w:lineRule="exact"/>
        <w:ind w:firstLine="643"/>
        <w:jc w:val="both"/>
        <w:rPr>
          <w:rFonts w:hint="eastAsia" w:ascii="仿宋_GB2312" w:hAnsi="仿宋_GB2312" w:eastAsia="仿宋_GB2312" w:cs="仿宋_GB2312"/>
          <w:b/>
          <w:bCs/>
          <w:color w:val="000000"/>
          <w:kern w:val="2"/>
          <w:sz w:val="32"/>
          <w:szCs w:val="32"/>
          <w:lang w:val="zh-CN"/>
        </w:rPr>
      </w:pPr>
      <w:r>
        <w:rPr>
          <w:rFonts w:hint="eastAsia" w:ascii="仿宋_GB2312" w:hAnsi="仿宋_GB2312" w:eastAsia="仿宋_GB2312" w:cs="仿宋_GB2312"/>
          <w:b/>
          <w:bCs/>
          <w:color w:val="000000"/>
          <w:kern w:val="2"/>
          <w:sz w:val="32"/>
          <w:szCs w:val="32"/>
          <w:lang w:val="zh-CN"/>
        </w:rPr>
        <w:t>（二）“三公”经费财政拨款支出决算具体情况说明</w:t>
      </w:r>
    </w:p>
    <w:p>
      <w:pPr>
        <w:keepNext/>
        <w:keepLines/>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年度“三公”经费财政拨款支出决算中，因公出国（境）费支出决算</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万元，占</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；公务用车购置及运行维护费支出决算8.75万元，占</w:t>
      </w:r>
      <w:r>
        <w:rPr>
          <w:rFonts w:ascii="仿宋_GB2312" w:hAnsi="仿宋_GB2312" w:eastAsia="仿宋_GB2312" w:cs="仿宋_GB2312"/>
          <w:color w:val="000000"/>
          <w:kern w:val="2"/>
          <w:sz w:val="32"/>
          <w:szCs w:val="32"/>
          <w:lang w:val="zh-CN"/>
        </w:rPr>
        <w:t>57.</w:t>
      </w:r>
      <w:r>
        <w:rPr>
          <w:rFonts w:hint="eastAsia" w:ascii="仿宋_GB2312" w:hAnsi="仿宋_GB2312" w:eastAsia="仿宋_GB2312" w:cs="仿宋_GB2312"/>
          <w:color w:val="000000"/>
          <w:kern w:val="2"/>
          <w:sz w:val="32"/>
          <w:szCs w:val="32"/>
        </w:rPr>
        <w:t>95</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；公务接待费支出决算6.35万元，占</w:t>
      </w:r>
      <w:r>
        <w:rPr>
          <w:rFonts w:ascii="仿宋_GB2312" w:hAnsi="仿宋_GB2312" w:eastAsia="仿宋_GB2312" w:cs="仿宋_GB2312"/>
          <w:color w:val="000000"/>
          <w:kern w:val="2"/>
          <w:sz w:val="32"/>
          <w:szCs w:val="32"/>
          <w:lang w:val="zh-CN"/>
        </w:rPr>
        <w:t>42.</w:t>
      </w:r>
      <w:r>
        <w:rPr>
          <w:rFonts w:hint="eastAsia" w:ascii="仿宋_GB2312" w:hAnsi="仿宋_GB2312" w:eastAsia="仿宋_GB2312" w:cs="仿宋_GB2312"/>
          <w:color w:val="000000"/>
          <w:kern w:val="2"/>
          <w:sz w:val="32"/>
          <w:szCs w:val="32"/>
        </w:rPr>
        <w:t>05</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。具体情况如下：</w:t>
      </w:r>
    </w:p>
    <w:p>
      <w:pPr>
        <w:spacing w:line="600" w:lineRule="exact"/>
        <w:ind w:firstLine="640"/>
        <w:jc w:val="both"/>
        <w:rPr>
          <w:rFonts w:hint="eastAsia" w:ascii="仿宋" w:hAnsi="仿宋" w:eastAsia="仿宋" w:cs="仿宋"/>
          <w:kern w:val="2"/>
          <w:sz w:val="32"/>
          <w:szCs w:val="32"/>
        </w:rPr>
      </w:pPr>
      <w:r>
        <w:rPr>
          <w:rFonts w:hint="eastAsia" w:ascii="仿宋" w:hAnsi="仿宋" w:eastAsia="仿宋" w:cs="仿宋"/>
          <w:kern w:val="2"/>
          <w:sz w:val="32"/>
          <w:szCs w:val="32"/>
        </w:rPr>
        <w:t>（图</w:t>
      </w:r>
      <w:r>
        <w:rPr>
          <w:rFonts w:ascii="仿宋" w:hAnsi="仿宋" w:eastAsia="仿宋" w:cs="仿宋"/>
          <w:kern w:val="2"/>
          <w:sz w:val="32"/>
          <w:szCs w:val="32"/>
        </w:rPr>
        <w:t>7</w:t>
      </w:r>
      <w:r>
        <w:rPr>
          <w:rFonts w:hint="eastAsia" w:ascii="仿宋" w:hAnsi="仿宋" w:eastAsia="仿宋" w:cs="仿宋"/>
          <w:kern w:val="2"/>
          <w:sz w:val="32"/>
          <w:szCs w:val="32"/>
        </w:rPr>
        <w:t>：“三公”经费财政拨款支出结构）（饼状图）</w:t>
      </w:r>
    </w:p>
    <w:p>
      <w:pPr>
        <w:pStyle w:val="6"/>
        <w:spacing w:before="72"/>
        <w:jc w:val="center"/>
      </w:pPr>
      <w:r>
        <w:drawing>
          <wp:inline distT="0" distB="0" distL="0" distR="0">
            <wp:extent cx="3282950" cy="1971675"/>
            <wp:effectExtent l="0" t="0" r="0" b="9525"/>
            <wp:docPr id="875412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12739"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9287" cy="1981768"/>
                    </a:xfrm>
                    <a:prstGeom prst="rect">
                      <a:avLst/>
                    </a:prstGeom>
                    <a:noFill/>
                    <a:ln>
                      <a:noFill/>
                    </a:ln>
                  </pic:spPr>
                </pic:pic>
              </a:graphicData>
            </a:graphic>
          </wp:inline>
        </w:drawing>
      </w:r>
    </w:p>
    <w:p>
      <w:pPr>
        <w:spacing w:line="600" w:lineRule="exact"/>
        <w:ind w:firstLine="643" w:firstLineChars="20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b/>
          <w:bCs/>
          <w:color w:val="000000"/>
          <w:kern w:val="2"/>
          <w:sz w:val="32"/>
          <w:szCs w:val="32"/>
        </w:rPr>
        <w:t>1.</w:t>
      </w:r>
      <w:r>
        <w:rPr>
          <w:rFonts w:hint="eastAsia" w:ascii="仿宋_GB2312" w:hAnsi="仿宋_GB2312" w:eastAsia="仿宋_GB2312" w:cs="仿宋_GB2312"/>
          <w:b/>
          <w:bCs/>
          <w:color w:val="000000"/>
          <w:kern w:val="2"/>
          <w:sz w:val="32"/>
          <w:szCs w:val="32"/>
          <w:lang w:val="zh-CN"/>
        </w:rPr>
        <w:t>因公出国（境）经费</w:t>
      </w:r>
      <w:r>
        <w:rPr>
          <w:rFonts w:hint="eastAsia" w:ascii="仿宋_GB2312" w:hAnsi="仿宋_GB2312" w:eastAsia="仿宋_GB2312" w:cs="仿宋_GB2312"/>
          <w:color w:val="000000"/>
          <w:kern w:val="2"/>
          <w:sz w:val="32"/>
          <w:szCs w:val="32"/>
          <w:lang w:val="zh-CN"/>
        </w:rPr>
        <w:t>支出</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万元，完成预算</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w:t>
      </w:r>
      <w:r>
        <w:rPr>
          <w:rFonts w:hint="eastAsia" w:ascii="仿宋_GB2312" w:eastAsia="仿宋_GB2312"/>
          <w:sz w:val="32"/>
          <w:szCs w:val="32"/>
        </w:rPr>
        <w:t>全年安排因公出国（境）</w:t>
      </w:r>
      <w:r>
        <w:rPr>
          <w:rFonts w:hint="eastAsia" w:ascii="仿宋_GB2312" w:hAnsi="仿宋_GB2312" w:eastAsia="仿宋_GB2312" w:cs="仿宋_GB2312"/>
          <w:sz w:val="32"/>
          <w:szCs w:val="32"/>
        </w:rPr>
        <w:t>团组</w:t>
      </w:r>
      <w:r>
        <w:rPr>
          <w:rFonts w:hint="eastAsia" w:ascii="仿宋_GB2312" w:hAnsi="仿宋_GB2312" w:eastAsia="仿宋_GB2312" w:cs="仿宋_GB2312"/>
          <w:b/>
          <w:sz w:val="32"/>
          <w:szCs w:val="32"/>
        </w:rPr>
        <w:t>0</w:t>
      </w:r>
      <w:r>
        <w:rPr>
          <w:rFonts w:hint="eastAsia" w:ascii="仿宋_GB2312" w:hAnsi="仿宋_GB2312" w:eastAsia="仿宋_GB2312" w:cs="仿宋_GB2312"/>
          <w:sz w:val="32"/>
          <w:szCs w:val="32"/>
        </w:rPr>
        <w:t>次，出国（境）</w:t>
      </w:r>
      <w:r>
        <w:rPr>
          <w:rFonts w:hint="eastAsia" w:ascii="仿宋_GB2312" w:hAnsi="仿宋_GB2312" w:eastAsia="仿宋_GB2312" w:cs="仿宋_GB2312"/>
          <w:b/>
          <w:sz w:val="32"/>
          <w:szCs w:val="32"/>
        </w:rPr>
        <w:t>0</w:t>
      </w:r>
      <w:r>
        <w:rPr>
          <w:rFonts w:hint="eastAsia" w:ascii="仿宋_GB2312" w:hAnsi="仿宋_GB2312" w:eastAsia="仿宋_GB2312" w:cs="仿宋_GB2312"/>
          <w:sz w:val="32"/>
          <w:szCs w:val="32"/>
        </w:rPr>
        <w:t>人。</w:t>
      </w:r>
      <w:r>
        <w:rPr>
          <w:rFonts w:hint="eastAsia" w:ascii="仿宋_GB2312" w:hAnsi="仿宋_GB2312" w:eastAsia="仿宋_GB2312" w:cs="仿宋_GB2312"/>
          <w:color w:val="000000"/>
          <w:kern w:val="2"/>
          <w:sz w:val="32"/>
          <w:szCs w:val="32"/>
          <w:lang w:val="zh-CN"/>
        </w:rPr>
        <w:t>。</w:t>
      </w:r>
    </w:p>
    <w:p>
      <w:pPr>
        <w:spacing w:line="600" w:lineRule="exact"/>
        <w:ind w:firstLine="643" w:firstLineChars="20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b/>
          <w:bCs/>
          <w:color w:val="000000"/>
          <w:kern w:val="2"/>
          <w:sz w:val="32"/>
          <w:szCs w:val="32"/>
          <w:lang w:val="zh-CN"/>
        </w:rPr>
        <w:t>2.</w:t>
      </w:r>
      <w:r>
        <w:rPr>
          <w:rFonts w:hint="eastAsia" w:ascii="仿宋_GB2312" w:hAnsi="仿宋_GB2312" w:eastAsia="仿宋_GB2312" w:cs="仿宋_GB2312"/>
          <w:b/>
          <w:bCs/>
          <w:color w:val="000000"/>
          <w:kern w:val="2"/>
          <w:sz w:val="32"/>
          <w:szCs w:val="32"/>
          <w:lang w:val="zh-CN"/>
        </w:rPr>
        <w:t>公务用车购置及运行维护费</w:t>
      </w:r>
      <w:r>
        <w:rPr>
          <w:rFonts w:hint="eastAsia" w:ascii="仿宋_GB2312" w:hAnsi="仿宋_GB2312" w:eastAsia="仿宋_GB2312" w:cs="仿宋_GB2312"/>
          <w:color w:val="000000"/>
          <w:kern w:val="2"/>
          <w:sz w:val="32"/>
          <w:szCs w:val="32"/>
          <w:lang w:val="zh-CN"/>
        </w:rPr>
        <w:t>支出8.75万元，完成预算</w:t>
      </w:r>
      <w:r>
        <w:rPr>
          <w:rFonts w:ascii="仿宋_GB2312" w:hAnsi="仿宋_GB2312" w:eastAsia="仿宋_GB2312" w:cs="仿宋_GB2312"/>
          <w:color w:val="000000"/>
          <w:kern w:val="2"/>
          <w:sz w:val="32"/>
          <w:szCs w:val="32"/>
          <w:lang w:val="zh-CN"/>
        </w:rPr>
        <w:t>100%</w:t>
      </w:r>
      <w:r>
        <w:rPr>
          <w:rFonts w:hint="eastAsia" w:ascii="仿宋_GB2312" w:hAnsi="仿宋_GB2312" w:eastAsia="仿宋_GB2312" w:cs="仿宋_GB2312"/>
          <w:color w:val="000000"/>
          <w:kern w:val="2"/>
          <w:sz w:val="32"/>
          <w:szCs w:val="32"/>
          <w:lang w:val="zh-CN"/>
        </w:rPr>
        <w:t>。公务用车购置及运行维护费支出决算比</w:t>
      </w: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2</w:t>
      </w:r>
      <w:r>
        <w:rPr>
          <w:rFonts w:hint="eastAsia" w:ascii="仿宋_GB2312" w:hAnsi="仿宋_GB2312" w:eastAsia="仿宋_GB2312" w:cs="仿宋_GB2312"/>
          <w:color w:val="000000"/>
          <w:kern w:val="2"/>
          <w:sz w:val="32"/>
          <w:szCs w:val="32"/>
          <w:lang w:val="zh-CN"/>
        </w:rPr>
        <w:t>年度减少</w:t>
      </w:r>
      <w:r>
        <w:rPr>
          <w:rFonts w:hint="eastAsia" w:ascii="仿宋_GB2312" w:hAnsi="仿宋_GB2312" w:eastAsia="仿宋_GB2312" w:cs="仿宋_GB2312"/>
          <w:color w:val="000000"/>
          <w:kern w:val="2"/>
          <w:sz w:val="32"/>
          <w:szCs w:val="32"/>
        </w:rPr>
        <w:t>0.01</w:t>
      </w:r>
      <w:r>
        <w:rPr>
          <w:rFonts w:hint="eastAsia" w:ascii="仿宋_GB2312" w:hAnsi="仿宋_GB2312" w:eastAsia="仿宋_GB2312" w:cs="仿宋_GB2312"/>
          <w:color w:val="000000"/>
          <w:kern w:val="2"/>
          <w:sz w:val="32"/>
          <w:szCs w:val="32"/>
          <w:lang w:val="zh-CN"/>
        </w:rPr>
        <w:t>万元，下降</w:t>
      </w:r>
      <w:r>
        <w:rPr>
          <w:rFonts w:hint="eastAsia" w:ascii="仿宋_GB2312" w:hAnsi="仿宋_GB2312" w:eastAsia="仿宋_GB2312" w:cs="仿宋_GB2312"/>
          <w:color w:val="000000"/>
          <w:kern w:val="2"/>
          <w:sz w:val="32"/>
          <w:szCs w:val="32"/>
        </w:rPr>
        <w:t>0.11</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。主要原因是</w:t>
      </w:r>
      <w:r>
        <w:rPr>
          <w:rFonts w:hint="eastAsia" w:ascii="仿宋_GB2312" w:hAnsi="仿宋_GB2312" w:eastAsia="仿宋_GB2312" w:cs="仿宋_GB2312"/>
          <w:color w:val="000000"/>
          <w:kern w:val="2"/>
          <w:sz w:val="32"/>
          <w:szCs w:val="32"/>
        </w:rPr>
        <w:t>厉行节约</w:t>
      </w:r>
      <w:r>
        <w:rPr>
          <w:rFonts w:hint="eastAsia" w:ascii="仿宋_GB2312" w:hAnsi="仿宋_GB2312" w:eastAsia="仿宋_GB2312" w:cs="仿宋_GB2312"/>
          <w:color w:val="000000"/>
          <w:kern w:val="2"/>
          <w:sz w:val="32"/>
          <w:szCs w:val="32"/>
          <w:lang w:val="zh-CN"/>
        </w:rPr>
        <w:t>。</w:t>
      </w:r>
    </w:p>
    <w:p>
      <w:pPr>
        <w:spacing w:line="600" w:lineRule="exact"/>
        <w:ind w:firstLine="640" w:firstLineChars="200"/>
        <w:jc w:val="both"/>
        <w:rPr>
          <w:rFonts w:hint="eastAsia" w:ascii="仿宋_GB2312" w:hAnsi="仿宋_GB2312" w:eastAsia="仿宋_GB2312" w:cs="仿宋_GB2312"/>
          <w:color w:val="000000"/>
          <w:kern w:val="2"/>
          <w:sz w:val="32"/>
          <w:szCs w:val="32"/>
          <w:lang w:val="zh-CN"/>
        </w:rPr>
      </w:pPr>
      <w:r>
        <w:rPr>
          <w:rFonts w:hint="eastAsia" w:ascii="仿宋_GB2312" w:hAnsi="仿宋_GB2312" w:eastAsia="仿宋_GB2312" w:cs="仿宋_GB2312"/>
          <w:color w:val="000000"/>
          <w:kern w:val="2"/>
          <w:sz w:val="32"/>
          <w:szCs w:val="32"/>
          <w:lang w:val="zh-CN"/>
        </w:rPr>
        <w:t>其中：</w:t>
      </w:r>
      <w:r>
        <w:rPr>
          <w:rFonts w:hint="eastAsia" w:ascii="仿宋_GB2312" w:hAnsi="仿宋_GB2312" w:eastAsia="仿宋_GB2312" w:cs="仿宋_GB2312"/>
          <w:b/>
          <w:bCs/>
          <w:color w:val="000000"/>
          <w:kern w:val="2"/>
          <w:sz w:val="32"/>
          <w:szCs w:val="32"/>
          <w:lang w:val="zh-CN"/>
        </w:rPr>
        <w:t>公务用车购置费</w:t>
      </w:r>
      <w:r>
        <w:rPr>
          <w:rFonts w:hint="eastAsia" w:ascii="仿宋_GB2312" w:hAnsi="仿宋_GB2312" w:eastAsia="仿宋_GB2312" w:cs="仿宋_GB2312"/>
          <w:color w:val="000000"/>
          <w:kern w:val="2"/>
          <w:sz w:val="32"/>
          <w:szCs w:val="32"/>
          <w:lang w:val="zh-CN"/>
        </w:rPr>
        <w:t>支出</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w:t>
      </w:r>
      <w:r>
        <w:rPr>
          <w:rFonts w:hint="eastAsia" w:ascii="仿宋_GB2312" w:eastAsia="仿宋_GB2312"/>
          <w:sz w:val="32"/>
          <w:szCs w:val="32"/>
        </w:rPr>
        <w:t>全年按规定更新购置公务用车0辆。截至2023年</w:t>
      </w:r>
      <w:r>
        <w:rPr>
          <w:rFonts w:ascii="仿宋_GB2312" w:eastAsia="仿宋_GB2312"/>
          <w:sz w:val="32"/>
          <w:szCs w:val="32"/>
        </w:rPr>
        <w:t>12</w:t>
      </w:r>
      <w:r>
        <w:rPr>
          <w:rFonts w:hint="eastAsia" w:ascii="仿宋_GB2312" w:eastAsia="仿宋_GB2312"/>
          <w:sz w:val="32"/>
          <w:szCs w:val="32"/>
        </w:rPr>
        <w:t>月31日，</w:t>
      </w:r>
      <w:r>
        <w:rPr>
          <w:rFonts w:hint="eastAsia" w:ascii="仿宋_GB2312" w:hAnsi="仿宋_GB2312" w:eastAsia="仿宋_GB2312"/>
          <w:color w:val="000000"/>
          <w:kern w:val="2"/>
          <w:sz w:val="32"/>
          <w:lang w:val="zh-CN"/>
        </w:rPr>
        <w:t>单位共有公务用车</w:t>
      </w:r>
      <w:r>
        <w:rPr>
          <w:rFonts w:hint="eastAsia" w:ascii="仿宋_GB2312" w:hAnsi="仿宋_GB2312" w:eastAsia="仿宋_GB2312"/>
          <w:color w:val="000000"/>
          <w:kern w:val="2"/>
          <w:sz w:val="32"/>
        </w:rPr>
        <w:t>1</w:t>
      </w:r>
      <w:r>
        <w:rPr>
          <w:rFonts w:hint="eastAsia" w:ascii="仿宋_GB2312" w:hAnsi="仿宋_GB2312" w:eastAsia="仿宋_GB2312"/>
          <w:color w:val="000000"/>
          <w:kern w:val="2"/>
          <w:sz w:val="32"/>
          <w:lang w:val="zh-CN"/>
        </w:rPr>
        <w:t>辆，其中：越野车</w:t>
      </w:r>
      <w:r>
        <w:rPr>
          <w:rFonts w:hint="eastAsia" w:ascii="仿宋_GB2312" w:hAnsi="仿宋_GB2312" w:eastAsia="仿宋_GB2312"/>
          <w:color w:val="000000"/>
          <w:kern w:val="2"/>
          <w:sz w:val="32"/>
        </w:rPr>
        <w:t>1</w:t>
      </w:r>
      <w:r>
        <w:rPr>
          <w:rFonts w:hint="eastAsia" w:ascii="仿宋_GB2312" w:hAnsi="仿宋_GB2312" w:eastAsia="仿宋_GB2312"/>
          <w:color w:val="000000"/>
          <w:kern w:val="2"/>
          <w:sz w:val="32"/>
          <w:lang w:val="zh-CN"/>
        </w:rPr>
        <w:t>辆。</w:t>
      </w:r>
    </w:p>
    <w:p>
      <w:pPr>
        <w:spacing w:line="600" w:lineRule="exact"/>
        <w:ind w:firstLine="643" w:firstLineChars="200"/>
        <w:jc w:val="both"/>
        <w:rPr>
          <w:rFonts w:hint="eastAsia" w:ascii="仿宋_GB2312" w:hAnsi="仿宋_GB2312" w:eastAsia="仿宋_GB2312" w:cs="仿宋_GB2312"/>
          <w:color w:val="000000"/>
          <w:kern w:val="2"/>
          <w:sz w:val="32"/>
          <w:szCs w:val="32"/>
          <w:lang w:val="zh-CN"/>
        </w:rPr>
      </w:pPr>
      <w:r>
        <w:rPr>
          <w:rFonts w:hint="eastAsia" w:ascii="仿宋_GB2312" w:hAnsi="仿宋_GB2312" w:eastAsia="仿宋_GB2312" w:cs="仿宋_GB2312"/>
          <w:b/>
          <w:bCs/>
          <w:color w:val="000000"/>
          <w:kern w:val="2"/>
          <w:sz w:val="32"/>
          <w:szCs w:val="32"/>
          <w:lang w:val="zh-CN"/>
        </w:rPr>
        <w:t>公务用车运行维护费</w:t>
      </w:r>
      <w:r>
        <w:rPr>
          <w:rFonts w:hint="eastAsia" w:ascii="仿宋_GB2312" w:hAnsi="仿宋_GB2312" w:eastAsia="仿宋_GB2312" w:cs="仿宋_GB2312"/>
          <w:color w:val="000000"/>
          <w:kern w:val="2"/>
          <w:sz w:val="32"/>
          <w:szCs w:val="32"/>
          <w:lang w:val="zh-CN"/>
        </w:rPr>
        <w:t>支出</w:t>
      </w:r>
      <w:r>
        <w:rPr>
          <w:rFonts w:ascii="仿宋_GB2312" w:hAnsi="仿宋_GB2312" w:eastAsia="仿宋_GB2312" w:cs="仿宋_GB2312"/>
          <w:color w:val="000000"/>
          <w:kern w:val="2"/>
          <w:sz w:val="32"/>
          <w:szCs w:val="32"/>
          <w:lang w:val="zh-CN"/>
        </w:rPr>
        <w:t>8.7</w:t>
      </w:r>
      <w:r>
        <w:rPr>
          <w:rFonts w:hint="eastAsia" w:ascii="仿宋_GB2312" w:hAnsi="仿宋_GB2312" w:eastAsia="仿宋_GB2312" w:cs="仿宋_GB2312"/>
          <w:color w:val="000000"/>
          <w:kern w:val="2"/>
          <w:sz w:val="32"/>
          <w:szCs w:val="32"/>
        </w:rPr>
        <w:t>5</w:t>
      </w:r>
      <w:r>
        <w:rPr>
          <w:rFonts w:hint="eastAsia" w:ascii="仿宋_GB2312" w:hAnsi="仿宋_GB2312" w:eastAsia="仿宋_GB2312" w:cs="仿宋_GB2312"/>
          <w:color w:val="000000"/>
          <w:kern w:val="2"/>
          <w:sz w:val="32"/>
          <w:szCs w:val="32"/>
          <w:lang w:val="zh-CN"/>
        </w:rPr>
        <w:t>万元。主要用于</w:t>
      </w:r>
      <w:r>
        <w:rPr>
          <w:rFonts w:hint="eastAsia" w:ascii="仿宋_GB2312" w:hAnsi="仿宋_GB2312" w:eastAsia="仿宋_GB2312" w:cs="仿宋_GB2312"/>
          <w:color w:val="000000"/>
          <w:kern w:val="2"/>
          <w:sz w:val="32"/>
          <w:szCs w:val="32"/>
          <w:highlight w:val="white"/>
          <w:lang w:val="zh-CN"/>
        </w:rPr>
        <w:t>日常工作</w:t>
      </w:r>
      <w:r>
        <w:rPr>
          <w:rFonts w:hint="eastAsia" w:ascii="仿宋_GB2312" w:hAnsi="仿宋_GB2312" w:eastAsia="仿宋_GB2312" w:cs="仿宋_GB2312"/>
          <w:color w:val="000000"/>
          <w:kern w:val="2"/>
          <w:sz w:val="32"/>
          <w:szCs w:val="32"/>
          <w:lang w:val="zh-CN"/>
        </w:rPr>
        <w:t>所需的公务用车燃油费、维修费、过路过桥费、保险费等支出。</w:t>
      </w:r>
    </w:p>
    <w:p>
      <w:pPr>
        <w:spacing w:line="600" w:lineRule="exact"/>
        <w:ind w:firstLine="643" w:firstLineChars="20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b/>
          <w:bCs/>
          <w:color w:val="000000"/>
          <w:kern w:val="2"/>
          <w:sz w:val="32"/>
          <w:szCs w:val="32"/>
        </w:rPr>
        <w:t>3.</w:t>
      </w:r>
      <w:r>
        <w:rPr>
          <w:rFonts w:hint="eastAsia" w:ascii="仿宋_GB2312" w:hAnsi="仿宋_GB2312" w:eastAsia="仿宋_GB2312" w:cs="仿宋_GB2312"/>
          <w:b/>
          <w:bCs/>
          <w:color w:val="000000"/>
          <w:kern w:val="2"/>
          <w:sz w:val="32"/>
          <w:szCs w:val="32"/>
          <w:lang w:val="zh-CN"/>
        </w:rPr>
        <w:t>公务接待费</w:t>
      </w:r>
      <w:r>
        <w:rPr>
          <w:rFonts w:hint="eastAsia" w:ascii="仿宋_GB2312" w:hAnsi="仿宋_GB2312" w:eastAsia="仿宋_GB2312" w:cs="仿宋_GB2312"/>
          <w:color w:val="000000"/>
          <w:kern w:val="2"/>
          <w:sz w:val="32"/>
          <w:szCs w:val="32"/>
          <w:lang w:val="zh-CN"/>
        </w:rPr>
        <w:t>支出</w:t>
      </w:r>
      <w:r>
        <w:rPr>
          <w:rFonts w:ascii="仿宋_GB2312" w:hAnsi="仿宋_GB2312" w:eastAsia="仿宋_GB2312" w:cs="仿宋_GB2312"/>
          <w:color w:val="000000"/>
          <w:kern w:val="2"/>
          <w:sz w:val="32"/>
          <w:szCs w:val="32"/>
          <w:lang w:val="zh-CN"/>
        </w:rPr>
        <w:t>6.</w:t>
      </w:r>
      <w:r>
        <w:rPr>
          <w:rFonts w:hint="eastAsia" w:ascii="仿宋_GB2312" w:hAnsi="仿宋_GB2312" w:eastAsia="仿宋_GB2312" w:cs="仿宋_GB2312"/>
          <w:color w:val="000000"/>
          <w:kern w:val="2"/>
          <w:sz w:val="32"/>
          <w:szCs w:val="32"/>
        </w:rPr>
        <w:t>3</w:t>
      </w:r>
      <w:r>
        <w:rPr>
          <w:rFonts w:ascii="仿宋_GB2312" w:hAnsi="仿宋_GB2312" w:eastAsia="仿宋_GB2312" w:cs="仿宋_GB2312"/>
          <w:color w:val="000000"/>
          <w:kern w:val="2"/>
          <w:sz w:val="32"/>
          <w:szCs w:val="32"/>
          <w:lang w:val="zh-CN"/>
        </w:rPr>
        <w:t>5</w:t>
      </w:r>
      <w:r>
        <w:rPr>
          <w:rFonts w:hint="eastAsia" w:ascii="仿宋_GB2312" w:hAnsi="仿宋_GB2312" w:eastAsia="仿宋_GB2312" w:cs="仿宋_GB2312"/>
          <w:color w:val="000000"/>
          <w:kern w:val="2"/>
          <w:sz w:val="32"/>
          <w:szCs w:val="32"/>
          <w:lang w:val="zh-CN"/>
        </w:rPr>
        <w:t>万元，完成预算</w:t>
      </w:r>
      <w:r>
        <w:rPr>
          <w:rFonts w:ascii="仿宋_GB2312" w:hAnsi="仿宋_GB2312" w:eastAsia="仿宋_GB2312" w:cs="仿宋_GB2312"/>
          <w:color w:val="000000"/>
          <w:kern w:val="2"/>
          <w:sz w:val="32"/>
          <w:szCs w:val="32"/>
          <w:lang w:val="zh-CN"/>
        </w:rPr>
        <w:t>100%</w:t>
      </w:r>
      <w:r>
        <w:rPr>
          <w:rFonts w:hint="eastAsia" w:ascii="仿宋_GB2312" w:hAnsi="仿宋_GB2312" w:eastAsia="仿宋_GB2312" w:cs="仿宋_GB2312"/>
          <w:color w:val="000000"/>
          <w:kern w:val="2"/>
          <w:sz w:val="32"/>
          <w:szCs w:val="32"/>
          <w:lang w:val="zh-CN"/>
        </w:rPr>
        <w:t>。公务接待费支出决算比</w:t>
      </w: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2</w:t>
      </w:r>
      <w:r>
        <w:rPr>
          <w:rFonts w:hint="eastAsia" w:ascii="仿宋_GB2312" w:hAnsi="仿宋_GB2312" w:eastAsia="仿宋_GB2312" w:cs="仿宋_GB2312"/>
          <w:color w:val="000000"/>
          <w:kern w:val="2"/>
          <w:sz w:val="32"/>
          <w:szCs w:val="32"/>
          <w:lang w:val="zh-CN"/>
        </w:rPr>
        <w:t>年度减少</w:t>
      </w:r>
      <w:r>
        <w:rPr>
          <w:rFonts w:hint="eastAsia" w:ascii="仿宋_GB2312" w:hAnsi="仿宋_GB2312" w:eastAsia="仿宋_GB2312" w:cs="仿宋_GB2312"/>
          <w:color w:val="000000"/>
          <w:kern w:val="2"/>
          <w:sz w:val="32"/>
          <w:szCs w:val="32"/>
        </w:rPr>
        <w:t>0.1</w:t>
      </w:r>
      <w:r>
        <w:rPr>
          <w:rFonts w:hint="eastAsia" w:ascii="仿宋_GB2312" w:hAnsi="仿宋_GB2312" w:eastAsia="仿宋_GB2312" w:cs="仿宋_GB2312"/>
          <w:color w:val="000000"/>
          <w:kern w:val="2"/>
          <w:sz w:val="32"/>
          <w:szCs w:val="32"/>
          <w:lang w:val="zh-CN"/>
        </w:rPr>
        <w:t>万元，下降</w:t>
      </w:r>
      <w:r>
        <w:rPr>
          <w:rFonts w:hint="eastAsia" w:ascii="仿宋_GB2312" w:hAnsi="仿宋_GB2312" w:eastAsia="仿宋_GB2312" w:cs="仿宋_GB2312"/>
          <w:color w:val="000000"/>
          <w:kern w:val="2"/>
          <w:sz w:val="32"/>
          <w:szCs w:val="32"/>
        </w:rPr>
        <w:t>1.57</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。主要原因是</w:t>
      </w:r>
      <w:r>
        <w:rPr>
          <w:rFonts w:hint="eastAsia" w:ascii="仿宋_GB2312" w:eastAsia="仿宋_GB2312" w:cs="仿宋_GB2312"/>
          <w:color w:val="000000"/>
          <w:sz w:val="32"/>
          <w:szCs w:val="32"/>
        </w:rPr>
        <w:t>厉行节约，着力压减“三公”经费</w:t>
      </w:r>
      <w:r>
        <w:rPr>
          <w:rFonts w:hint="eastAsia" w:ascii="仿宋_GB2312" w:hAnsi="仿宋_GB2312" w:eastAsia="仿宋_GB2312" w:cs="仿宋_GB2312"/>
          <w:color w:val="000000"/>
          <w:kern w:val="2"/>
          <w:sz w:val="32"/>
          <w:szCs w:val="32"/>
          <w:lang w:val="zh-CN"/>
        </w:rPr>
        <w:t>。其中：</w:t>
      </w:r>
    </w:p>
    <w:p>
      <w:pPr>
        <w:spacing w:line="600" w:lineRule="exact"/>
        <w:ind w:firstLine="643" w:firstLineChars="200"/>
        <w:jc w:val="both"/>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b/>
          <w:bCs/>
          <w:color w:val="000000"/>
          <w:kern w:val="2"/>
          <w:sz w:val="32"/>
          <w:szCs w:val="32"/>
          <w:lang w:val="zh-CN"/>
        </w:rPr>
        <w:t>国内公务接待</w:t>
      </w:r>
      <w:r>
        <w:rPr>
          <w:rFonts w:hint="eastAsia" w:ascii="仿宋_GB2312" w:hAnsi="仿宋_GB2312" w:eastAsia="仿宋_GB2312" w:cs="仿宋_GB2312"/>
          <w:color w:val="000000"/>
          <w:kern w:val="2"/>
          <w:sz w:val="32"/>
          <w:szCs w:val="32"/>
          <w:lang w:val="zh-CN"/>
        </w:rPr>
        <w:t>支出</w:t>
      </w:r>
      <w:r>
        <w:rPr>
          <w:rFonts w:ascii="仿宋_GB2312" w:hAnsi="仿宋_GB2312" w:eastAsia="仿宋_GB2312" w:cs="仿宋_GB2312"/>
          <w:color w:val="000000"/>
          <w:kern w:val="2"/>
          <w:sz w:val="32"/>
          <w:szCs w:val="32"/>
          <w:lang w:val="zh-CN"/>
        </w:rPr>
        <w:t>6.</w:t>
      </w:r>
      <w:r>
        <w:rPr>
          <w:rFonts w:hint="eastAsia" w:ascii="仿宋_GB2312" w:hAnsi="仿宋_GB2312" w:eastAsia="仿宋_GB2312" w:cs="仿宋_GB2312"/>
          <w:color w:val="000000"/>
          <w:kern w:val="2"/>
          <w:sz w:val="32"/>
          <w:szCs w:val="32"/>
        </w:rPr>
        <w:t>3</w:t>
      </w:r>
      <w:r>
        <w:rPr>
          <w:rFonts w:ascii="仿宋_GB2312" w:hAnsi="仿宋_GB2312" w:eastAsia="仿宋_GB2312" w:cs="仿宋_GB2312"/>
          <w:color w:val="000000"/>
          <w:kern w:val="2"/>
          <w:sz w:val="32"/>
          <w:szCs w:val="32"/>
          <w:lang w:val="zh-CN"/>
        </w:rPr>
        <w:t>5</w:t>
      </w:r>
      <w:r>
        <w:rPr>
          <w:rFonts w:hint="eastAsia" w:ascii="仿宋_GB2312" w:hAnsi="仿宋_GB2312" w:eastAsia="仿宋_GB2312" w:cs="仿宋_GB2312"/>
          <w:color w:val="000000"/>
          <w:kern w:val="2"/>
          <w:sz w:val="32"/>
          <w:szCs w:val="32"/>
          <w:lang w:val="zh-CN"/>
        </w:rPr>
        <w:t>万元。主要用于</w:t>
      </w:r>
      <w:r>
        <w:rPr>
          <w:rFonts w:hint="eastAsia" w:ascii="仿宋_GB2312" w:eastAsia="仿宋_GB2312" w:cs="仿宋_GB2312"/>
          <w:color w:val="000000"/>
          <w:sz w:val="32"/>
          <w:szCs w:val="32"/>
        </w:rPr>
        <w:t>执行公务、开展业务活动开支的用餐费</w:t>
      </w:r>
      <w:r>
        <w:rPr>
          <w:rFonts w:hint="eastAsia" w:ascii="仿宋_GB2312" w:hAnsi="仿宋_GB2312" w:eastAsia="仿宋_GB2312" w:cs="仿宋_GB2312"/>
          <w:color w:val="000000"/>
          <w:kern w:val="2"/>
          <w:sz w:val="32"/>
          <w:szCs w:val="32"/>
          <w:highlight w:val="white"/>
        </w:rPr>
        <w:t>。</w:t>
      </w:r>
      <w:r>
        <w:rPr>
          <w:rFonts w:hint="eastAsia" w:ascii="仿宋_GB2312" w:hAnsi="仿宋_GB2312" w:eastAsia="仿宋_GB2312" w:cs="仿宋_GB2312"/>
          <w:color w:val="000000"/>
          <w:kern w:val="2"/>
          <w:sz w:val="32"/>
          <w:szCs w:val="32"/>
          <w:lang w:val="zh-CN"/>
        </w:rPr>
        <w:t>国内公务接待</w:t>
      </w:r>
      <w:r>
        <w:rPr>
          <w:rFonts w:ascii="仿宋_GB2312" w:hAnsi="仿宋_GB2312" w:eastAsia="仿宋_GB2312" w:cs="仿宋_GB2312"/>
          <w:color w:val="000000"/>
          <w:kern w:val="2"/>
          <w:sz w:val="32"/>
          <w:szCs w:val="32"/>
          <w:lang w:val="zh-CN"/>
        </w:rPr>
        <w:t>15</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批次，</w:t>
      </w:r>
      <w:r>
        <w:rPr>
          <w:rFonts w:ascii="仿宋_GB2312" w:hAnsi="仿宋_GB2312" w:eastAsia="仿宋_GB2312" w:cs="仿宋_GB2312"/>
          <w:color w:val="000000"/>
          <w:kern w:val="2"/>
          <w:sz w:val="32"/>
          <w:szCs w:val="32"/>
          <w:lang w:val="zh-CN"/>
        </w:rPr>
        <w:t>12</w:t>
      </w:r>
      <w:r>
        <w:rPr>
          <w:rFonts w:hint="eastAsia" w:ascii="仿宋_GB2312" w:hAnsi="仿宋_GB2312" w:eastAsia="仿宋_GB2312" w:cs="仿宋_GB2312"/>
          <w:color w:val="000000"/>
          <w:kern w:val="2"/>
          <w:sz w:val="32"/>
          <w:szCs w:val="32"/>
        </w:rPr>
        <w:t>37</w:t>
      </w:r>
      <w:r>
        <w:rPr>
          <w:rFonts w:hint="eastAsia" w:ascii="仿宋_GB2312" w:hAnsi="仿宋_GB2312" w:eastAsia="仿宋_GB2312" w:cs="仿宋_GB2312"/>
          <w:color w:val="000000"/>
          <w:kern w:val="2"/>
          <w:sz w:val="32"/>
          <w:szCs w:val="32"/>
          <w:lang w:val="zh-CN"/>
        </w:rPr>
        <w:t>人次，共计支出</w:t>
      </w:r>
      <w:r>
        <w:rPr>
          <w:rFonts w:ascii="仿宋_GB2312" w:hAnsi="仿宋_GB2312" w:eastAsia="仿宋_GB2312" w:cs="仿宋_GB2312"/>
          <w:color w:val="000000"/>
          <w:kern w:val="2"/>
          <w:sz w:val="32"/>
          <w:szCs w:val="32"/>
          <w:lang w:val="zh-CN"/>
        </w:rPr>
        <w:t>6.</w:t>
      </w:r>
      <w:r>
        <w:rPr>
          <w:rFonts w:hint="eastAsia" w:ascii="仿宋_GB2312" w:hAnsi="仿宋_GB2312" w:eastAsia="仿宋_GB2312" w:cs="仿宋_GB2312"/>
          <w:color w:val="000000"/>
          <w:kern w:val="2"/>
          <w:sz w:val="32"/>
          <w:szCs w:val="32"/>
        </w:rPr>
        <w:t>3</w:t>
      </w:r>
      <w:r>
        <w:rPr>
          <w:rFonts w:ascii="仿宋_GB2312" w:hAnsi="仿宋_GB2312" w:eastAsia="仿宋_GB2312" w:cs="仿宋_GB2312"/>
          <w:color w:val="000000"/>
          <w:kern w:val="2"/>
          <w:sz w:val="32"/>
          <w:szCs w:val="32"/>
          <w:lang w:val="zh-CN"/>
        </w:rPr>
        <w:t>5</w:t>
      </w:r>
      <w:r>
        <w:rPr>
          <w:rFonts w:hint="eastAsia" w:ascii="仿宋_GB2312" w:hAnsi="仿宋_GB2312" w:eastAsia="仿宋_GB2312" w:cs="仿宋_GB2312"/>
          <w:color w:val="000000"/>
          <w:kern w:val="2"/>
          <w:sz w:val="32"/>
          <w:szCs w:val="32"/>
          <w:lang w:val="zh-CN"/>
        </w:rPr>
        <w:t>万元，具体内容包括省市调研农业生产情况、市审计局审计高标准农田建设工作、市国土修复和整治中心验收土地整治工作、市食品安全专家组检查镇食品生产企业安全情况、省国土空间规划研究院开展调研工作、省自然资源厅检查卫片图斑用餐等</w:t>
      </w:r>
      <w:r>
        <w:rPr>
          <w:rFonts w:hint="eastAsia" w:ascii="仿宋_GB2312" w:hAnsi="仿宋_GB2312" w:eastAsia="仿宋_GB2312" w:cs="仿宋_GB2312"/>
          <w:color w:val="000000"/>
          <w:kern w:val="2"/>
          <w:sz w:val="32"/>
          <w:szCs w:val="32"/>
          <w:highlight w:val="white"/>
        </w:rPr>
        <w:t>。</w:t>
      </w:r>
    </w:p>
    <w:p>
      <w:pPr>
        <w:keepNext/>
        <w:keepLines/>
        <w:spacing w:line="576" w:lineRule="exact"/>
        <w:ind w:firstLine="643"/>
        <w:jc w:val="both"/>
        <w:rPr>
          <w:rFonts w:hint="eastAsia" w:ascii="仿宋_GB2312" w:hAnsi="仿宋_GB2312" w:eastAsia="仿宋_GB2312" w:cs="仿宋_GB2312"/>
          <w:color w:val="000000"/>
          <w:kern w:val="2"/>
          <w:sz w:val="32"/>
          <w:szCs w:val="32"/>
        </w:rPr>
      </w:pPr>
      <w:r>
        <w:rPr>
          <w:rFonts w:hint="eastAsia" w:ascii="仿宋_GB2312" w:hAnsi="仿宋_GB2312" w:eastAsia="仿宋_GB2312" w:cs="仿宋_GB2312"/>
          <w:b/>
          <w:bCs/>
          <w:color w:val="000000"/>
          <w:kern w:val="2"/>
          <w:sz w:val="32"/>
          <w:szCs w:val="32"/>
          <w:lang w:val="zh-CN"/>
        </w:rPr>
        <w:t>外事接待</w:t>
      </w:r>
      <w:r>
        <w:rPr>
          <w:rFonts w:hint="eastAsia" w:ascii="仿宋_GB2312" w:hAnsi="仿宋_GB2312" w:eastAsia="仿宋_GB2312" w:cs="仿宋_GB2312"/>
          <w:color w:val="000000"/>
          <w:kern w:val="2"/>
          <w:sz w:val="32"/>
          <w:szCs w:val="32"/>
          <w:lang w:val="zh-CN"/>
        </w:rPr>
        <w:t>支出</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w:t>
      </w:r>
    </w:p>
    <w:p>
      <w:pPr>
        <w:pStyle w:val="4"/>
        <w:spacing w:line="576" w:lineRule="exact"/>
        <w:ind w:firstLine="640" w:firstLineChars="200"/>
        <w:rPr>
          <w:rFonts w:hint="eastAsia" w:ascii="黑体" w:hAnsi="黑体" w:eastAsia="黑体" w:cs="黑体"/>
          <w:sz w:val="32"/>
          <w:szCs w:val="32"/>
          <w:lang w:val="zh-CN"/>
        </w:rPr>
      </w:pPr>
      <w:bookmarkStart w:id="11" w:name="_Toc148450365"/>
      <w:r>
        <w:rPr>
          <w:rFonts w:hint="eastAsia" w:ascii="黑体" w:hAnsi="黑体" w:eastAsia="黑体" w:cs="黑体"/>
          <w:sz w:val="32"/>
          <w:szCs w:val="32"/>
          <w:lang w:val="zh-CN"/>
        </w:rPr>
        <w:t>八、政府性基金预算支出决算情况说明</w:t>
      </w:r>
      <w:bookmarkEnd w:id="11"/>
    </w:p>
    <w:p>
      <w:pPr>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年度政府性基金预算拨款支出395.9万元。</w:t>
      </w:r>
    </w:p>
    <w:p>
      <w:pPr>
        <w:pStyle w:val="4"/>
        <w:spacing w:line="576" w:lineRule="exact"/>
        <w:ind w:firstLine="640" w:firstLineChars="200"/>
        <w:rPr>
          <w:rFonts w:hint="eastAsia" w:ascii="黑体" w:hAnsi="黑体" w:eastAsia="黑体" w:cs="黑体"/>
          <w:sz w:val="32"/>
          <w:szCs w:val="32"/>
          <w:lang w:val="zh-CN"/>
        </w:rPr>
      </w:pPr>
      <w:bookmarkStart w:id="12" w:name="_Toc148450366"/>
      <w:r>
        <w:rPr>
          <w:rFonts w:hint="eastAsia" w:ascii="黑体" w:hAnsi="黑体" w:eastAsia="黑体" w:cs="黑体"/>
          <w:sz w:val="32"/>
          <w:szCs w:val="32"/>
          <w:lang w:val="zh-CN"/>
        </w:rPr>
        <w:t>九、国有资本经营预算支出决算情况说明</w:t>
      </w:r>
      <w:bookmarkEnd w:id="12"/>
    </w:p>
    <w:p>
      <w:pPr>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年度国有资本经营预算拨款支出</w:t>
      </w:r>
      <w:r>
        <w:rPr>
          <w:rFonts w:ascii="仿宋_GB2312" w:hAnsi="仿宋_GB2312" w:eastAsia="仿宋_GB2312" w:cs="仿宋_GB2312"/>
          <w:color w:val="000000"/>
          <w:kern w:val="2"/>
          <w:sz w:val="32"/>
          <w:szCs w:val="32"/>
          <w:lang w:val="zh-CN"/>
        </w:rPr>
        <w:t>0</w:t>
      </w:r>
      <w:r>
        <w:rPr>
          <w:rFonts w:hint="eastAsia" w:ascii="仿宋_GB2312" w:hAnsi="仿宋_GB2312" w:eastAsia="仿宋_GB2312" w:cs="仿宋_GB2312"/>
          <w:color w:val="000000"/>
          <w:kern w:val="2"/>
          <w:sz w:val="32"/>
          <w:szCs w:val="32"/>
          <w:lang w:val="zh-CN"/>
        </w:rPr>
        <w:t>万元。</w:t>
      </w:r>
    </w:p>
    <w:p>
      <w:pPr>
        <w:pStyle w:val="4"/>
        <w:spacing w:line="576" w:lineRule="exact"/>
        <w:ind w:firstLine="640" w:firstLineChars="200"/>
        <w:rPr>
          <w:rFonts w:hint="eastAsia" w:ascii="黑体" w:hAnsi="黑体" w:eastAsia="黑体" w:cs="黑体"/>
          <w:sz w:val="32"/>
          <w:szCs w:val="32"/>
          <w:lang w:val="zh-CN"/>
        </w:rPr>
      </w:pPr>
      <w:bookmarkStart w:id="13" w:name="_Toc148450367"/>
      <w:r>
        <w:rPr>
          <w:rFonts w:hint="eastAsia" w:ascii="黑体" w:hAnsi="黑体" w:eastAsia="黑体" w:cs="黑体"/>
          <w:sz w:val="32"/>
          <w:szCs w:val="32"/>
          <w:lang w:val="zh-CN"/>
        </w:rPr>
        <w:t>十、其他重要事项的情况说明</w:t>
      </w:r>
      <w:bookmarkEnd w:id="13"/>
    </w:p>
    <w:p>
      <w:pPr>
        <w:keepNext/>
        <w:keepLines/>
        <w:spacing w:line="576" w:lineRule="exact"/>
        <w:ind w:firstLine="643"/>
        <w:jc w:val="both"/>
        <w:rPr>
          <w:rFonts w:hint="eastAsia" w:ascii="仿宋_GB2312" w:hAnsi="仿宋_GB2312" w:eastAsia="仿宋_GB2312" w:cs="仿宋_GB2312"/>
          <w:color w:val="000000"/>
          <w:kern w:val="2"/>
          <w:sz w:val="32"/>
          <w:szCs w:val="32"/>
          <w:lang w:val="zh-CN"/>
        </w:rPr>
      </w:pPr>
      <w:r>
        <w:rPr>
          <w:rFonts w:hint="eastAsia" w:ascii="仿宋_GB2312" w:hAnsi="仿宋_GB2312" w:eastAsia="仿宋_GB2312" w:cs="仿宋_GB2312"/>
          <w:b/>
          <w:bCs/>
          <w:color w:val="000000"/>
          <w:kern w:val="2"/>
          <w:sz w:val="32"/>
          <w:szCs w:val="32"/>
          <w:lang w:val="zh-CN"/>
        </w:rPr>
        <w:t>（一）机关运行经费支出情况</w:t>
      </w:r>
    </w:p>
    <w:p>
      <w:pPr>
        <w:spacing w:line="576" w:lineRule="exact"/>
        <w:ind w:firstLine="64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年度，泸县得胜镇人民政府</w:t>
      </w:r>
      <w:r>
        <w:rPr>
          <w:rFonts w:ascii="仿宋_GB2312" w:eastAsia="仿宋_GB2312"/>
          <w:sz w:val="32"/>
          <w:szCs w:val="32"/>
        </w:rPr>
        <w:t>(本级)</w:t>
      </w:r>
      <w:r>
        <w:rPr>
          <w:rFonts w:hint="eastAsia" w:ascii="仿宋_GB2312" w:hAnsi="仿宋_GB2312" w:eastAsia="仿宋_GB2312" w:cs="仿宋_GB2312"/>
          <w:color w:val="000000"/>
          <w:kern w:val="2"/>
          <w:sz w:val="32"/>
          <w:szCs w:val="32"/>
          <w:lang w:val="zh-CN"/>
        </w:rPr>
        <w:t>机关运行经费支出</w:t>
      </w:r>
      <w:r>
        <w:rPr>
          <w:rFonts w:hint="eastAsia" w:ascii="仿宋_GB2312" w:hAnsi="仿宋_GB2312" w:eastAsia="仿宋_GB2312" w:cs="仿宋_GB2312"/>
          <w:color w:val="000000"/>
          <w:kern w:val="2"/>
          <w:sz w:val="32"/>
          <w:szCs w:val="32"/>
        </w:rPr>
        <w:t>911.01</w:t>
      </w:r>
      <w:r>
        <w:rPr>
          <w:rFonts w:hint="eastAsia" w:ascii="仿宋_GB2312" w:hAnsi="仿宋_GB2312" w:eastAsia="仿宋_GB2312" w:cs="仿宋_GB2312"/>
          <w:color w:val="000000"/>
          <w:kern w:val="2"/>
          <w:sz w:val="32"/>
          <w:szCs w:val="32"/>
          <w:lang w:val="zh-CN"/>
        </w:rPr>
        <w:t>万元，比</w:t>
      </w: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2</w:t>
      </w:r>
      <w:r>
        <w:rPr>
          <w:rFonts w:hint="eastAsia" w:ascii="仿宋_GB2312" w:hAnsi="仿宋_GB2312" w:eastAsia="仿宋_GB2312" w:cs="仿宋_GB2312"/>
          <w:color w:val="000000"/>
          <w:kern w:val="2"/>
          <w:sz w:val="32"/>
          <w:szCs w:val="32"/>
          <w:lang w:val="zh-CN"/>
        </w:rPr>
        <w:t>年度增加</w:t>
      </w:r>
      <w:r>
        <w:rPr>
          <w:rFonts w:hint="eastAsia" w:ascii="仿宋_GB2312" w:hAnsi="仿宋_GB2312" w:eastAsia="仿宋_GB2312" w:cs="仿宋_GB2312"/>
          <w:color w:val="000000"/>
          <w:kern w:val="2"/>
          <w:sz w:val="32"/>
          <w:szCs w:val="32"/>
        </w:rPr>
        <w:t>601.45</w:t>
      </w:r>
      <w:r>
        <w:rPr>
          <w:rFonts w:hint="eastAsia" w:ascii="仿宋_GB2312" w:hAnsi="仿宋_GB2312" w:eastAsia="仿宋_GB2312" w:cs="仿宋_GB2312"/>
          <w:color w:val="000000"/>
          <w:kern w:val="2"/>
          <w:sz w:val="32"/>
          <w:szCs w:val="32"/>
          <w:lang w:val="zh-CN"/>
        </w:rPr>
        <w:t>万元，增长</w:t>
      </w:r>
      <w:r>
        <w:rPr>
          <w:rFonts w:hint="eastAsia" w:ascii="仿宋_GB2312" w:hAnsi="仿宋_GB2312" w:eastAsia="仿宋_GB2312" w:cs="仿宋_GB2312"/>
          <w:color w:val="000000"/>
          <w:kern w:val="2"/>
          <w:sz w:val="32"/>
          <w:szCs w:val="32"/>
        </w:rPr>
        <w:t>66.02</w:t>
      </w:r>
      <w:r>
        <w:rPr>
          <w:rFonts w:ascii="仿宋_GB2312" w:hAnsi="仿宋_GB2312" w:eastAsia="仿宋_GB2312" w:cs="仿宋_GB2312"/>
          <w:color w:val="000000"/>
          <w:kern w:val="2"/>
          <w:sz w:val="32"/>
          <w:szCs w:val="32"/>
          <w:lang w:val="zh-CN"/>
        </w:rPr>
        <w:t>%</w:t>
      </w:r>
      <w:r>
        <w:rPr>
          <w:rFonts w:hint="eastAsia" w:ascii="仿宋_GB2312" w:hAnsi="仿宋_GB2312" w:eastAsia="仿宋_GB2312" w:cs="仿宋_GB2312"/>
          <w:color w:val="000000"/>
          <w:kern w:val="2"/>
          <w:sz w:val="32"/>
          <w:szCs w:val="32"/>
          <w:lang w:val="zh-CN"/>
        </w:rPr>
        <w:t>。主要原因是</w:t>
      </w:r>
      <w:r>
        <w:rPr>
          <w:rFonts w:hint="eastAsia" w:eastAsia="仿宋_GB2312" w:cs="仿宋_GB2312"/>
          <w:sz w:val="32"/>
          <w:szCs w:val="32"/>
        </w:rPr>
        <w:t>落实预算法及实施条例要求，进一步规范预算管理，理清支出边界，将原项目支出中列支的基本支出调整归位。</w:t>
      </w:r>
    </w:p>
    <w:p>
      <w:pPr>
        <w:spacing w:line="600" w:lineRule="exact"/>
        <w:ind w:firstLine="643"/>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（注：数据来源于财决附</w:t>
      </w:r>
      <w:r>
        <w:rPr>
          <w:rFonts w:ascii="仿宋" w:hAnsi="仿宋" w:eastAsia="仿宋" w:cs="仿宋"/>
          <w:b/>
          <w:bCs/>
          <w:kern w:val="2"/>
          <w:sz w:val="32"/>
          <w:szCs w:val="32"/>
        </w:rPr>
        <w:t>03</w:t>
      </w:r>
      <w:r>
        <w:rPr>
          <w:rFonts w:hint="eastAsia" w:ascii="仿宋" w:hAnsi="仿宋" w:eastAsia="仿宋" w:cs="仿宋"/>
          <w:b/>
          <w:bCs/>
          <w:kern w:val="2"/>
          <w:sz w:val="32"/>
          <w:szCs w:val="32"/>
        </w:rPr>
        <w:t>表）</w:t>
      </w:r>
    </w:p>
    <w:p>
      <w:pPr>
        <w:spacing w:line="600" w:lineRule="exact"/>
        <w:ind w:firstLine="643" w:firstLineChars="200"/>
        <w:jc w:val="both"/>
        <w:rPr>
          <w:rFonts w:hint="eastAsia" w:ascii="仿宋_GB2312" w:hAnsi="仿宋_GB2312" w:eastAsia="仿宋_GB2312" w:cs="仿宋_GB2312"/>
          <w:b/>
          <w:bCs/>
          <w:color w:val="000000"/>
          <w:kern w:val="2"/>
          <w:sz w:val="32"/>
          <w:szCs w:val="32"/>
          <w:lang w:val="zh-CN"/>
        </w:rPr>
      </w:pPr>
      <w:r>
        <w:rPr>
          <w:rFonts w:hint="eastAsia" w:ascii="仿宋_GB2312" w:hAnsi="仿宋_GB2312" w:eastAsia="仿宋_GB2312" w:cs="仿宋_GB2312"/>
          <w:b/>
          <w:bCs/>
          <w:color w:val="000000"/>
          <w:kern w:val="2"/>
          <w:sz w:val="32"/>
          <w:szCs w:val="32"/>
          <w:lang w:val="zh-CN"/>
        </w:rPr>
        <w:t>（二）政府采购支出情况</w:t>
      </w:r>
    </w:p>
    <w:p>
      <w:pPr>
        <w:spacing w:line="600" w:lineRule="exact"/>
        <w:ind w:firstLine="640" w:firstLineChars="200"/>
        <w:jc w:val="both"/>
        <w:rPr>
          <w:rFonts w:hint="eastAsia" w:ascii="仿宋_GB2312" w:hAnsi="仿宋_GB2312" w:eastAsia="仿宋_GB2312" w:cs="仿宋_GB2312"/>
          <w:color w:val="000000"/>
          <w:kern w:val="2"/>
          <w:sz w:val="32"/>
          <w:szCs w:val="32"/>
          <w:lang w:val="zh-CN"/>
        </w:rPr>
      </w:pP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年度，泸县得胜镇人民政府</w:t>
      </w:r>
      <w:r>
        <w:rPr>
          <w:rFonts w:ascii="仿宋_GB2312" w:eastAsia="仿宋_GB2312"/>
          <w:sz w:val="32"/>
          <w:szCs w:val="32"/>
        </w:rPr>
        <w:t>(本级)</w:t>
      </w:r>
      <w:r>
        <w:rPr>
          <w:rFonts w:hint="eastAsia" w:ascii="仿宋_GB2312" w:hAnsi="仿宋_GB2312" w:eastAsia="仿宋_GB2312" w:cs="仿宋_GB2312"/>
          <w:color w:val="000000"/>
          <w:kern w:val="2"/>
          <w:sz w:val="32"/>
          <w:szCs w:val="32"/>
          <w:lang w:val="zh-CN"/>
        </w:rPr>
        <w:t>政府采购支出总额</w:t>
      </w:r>
      <w:r>
        <w:rPr>
          <w:rFonts w:hint="eastAsia" w:ascii="仿宋_GB2312" w:hAnsi="仿宋_GB2312" w:eastAsia="仿宋_GB2312" w:cs="仿宋_GB2312"/>
          <w:color w:val="000000"/>
          <w:kern w:val="2"/>
          <w:sz w:val="32"/>
          <w:szCs w:val="32"/>
        </w:rPr>
        <w:t>260.15</w:t>
      </w:r>
      <w:r>
        <w:rPr>
          <w:rFonts w:hint="eastAsia" w:ascii="仿宋_GB2312" w:hAnsi="仿宋_GB2312" w:eastAsia="仿宋_GB2312" w:cs="仿宋_GB2312"/>
          <w:color w:val="000000"/>
          <w:kern w:val="2"/>
          <w:sz w:val="32"/>
          <w:szCs w:val="32"/>
          <w:lang w:val="zh-CN"/>
        </w:rPr>
        <w:t>万元，其中：政府采购货物支出</w:t>
      </w:r>
      <w:r>
        <w:rPr>
          <w:rFonts w:hint="eastAsia" w:ascii="仿宋_GB2312" w:hAnsi="仿宋_GB2312" w:eastAsia="仿宋_GB2312" w:cs="仿宋_GB2312"/>
          <w:color w:val="000000"/>
          <w:kern w:val="2"/>
          <w:sz w:val="32"/>
          <w:szCs w:val="32"/>
        </w:rPr>
        <w:t>0.7</w:t>
      </w:r>
      <w:r>
        <w:rPr>
          <w:rFonts w:hint="eastAsia" w:ascii="仿宋_GB2312" w:hAnsi="仿宋_GB2312" w:eastAsia="仿宋_GB2312" w:cs="仿宋_GB2312"/>
          <w:color w:val="000000"/>
          <w:kern w:val="2"/>
          <w:sz w:val="32"/>
          <w:szCs w:val="32"/>
          <w:lang w:val="zh-CN"/>
        </w:rPr>
        <w:t>万元、政府采购工程支出</w:t>
      </w:r>
      <w:r>
        <w:rPr>
          <w:rFonts w:hint="eastAsia" w:ascii="仿宋_GB2312" w:hAnsi="仿宋_GB2312" w:eastAsia="仿宋_GB2312" w:cs="仿宋_GB2312"/>
          <w:color w:val="000000"/>
          <w:kern w:val="2"/>
          <w:sz w:val="32"/>
          <w:szCs w:val="32"/>
        </w:rPr>
        <w:t>102.85</w:t>
      </w:r>
      <w:r>
        <w:rPr>
          <w:rFonts w:hint="eastAsia" w:ascii="仿宋_GB2312" w:hAnsi="仿宋_GB2312" w:eastAsia="仿宋_GB2312" w:cs="仿宋_GB2312"/>
          <w:color w:val="000000"/>
          <w:kern w:val="2"/>
          <w:sz w:val="32"/>
          <w:szCs w:val="32"/>
          <w:lang w:val="zh-CN"/>
        </w:rPr>
        <w:t>万元、政府采购服务支出</w:t>
      </w:r>
      <w:r>
        <w:rPr>
          <w:rFonts w:hint="eastAsia" w:ascii="仿宋_GB2312" w:hAnsi="仿宋_GB2312" w:eastAsia="仿宋_GB2312" w:cs="仿宋_GB2312"/>
          <w:color w:val="000000"/>
          <w:kern w:val="2"/>
          <w:sz w:val="32"/>
          <w:szCs w:val="32"/>
        </w:rPr>
        <w:t>156.6</w:t>
      </w:r>
      <w:r>
        <w:rPr>
          <w:rFonts w:hint="eastAsia" w:ascii="仿宋_GB2312" w:hAnsi="仿宋_GB2312" w:eastAsia="仿宋_GB2312" w:cs="仿宋_GB2312"/>
          <w:color w:val="000000"/>
          <w:kern w:val="2"/>
          <w:sz w:val="32"/>
          <w:szCs w:val="32"/>
          <w:lang w:val="zh-CN"/>
        </w:rPr>
        <w:t>万元。主要用于办公设备购置、</w:t>
      </w:r>
      <w:r>
        <w:rPr>
          <w:rFonts w:hint="eastAsia" w:ascii="仿宋_GB2312" w:hAnsi="仿宋_GB2312" w:eastAsia="仿宋_GB2312" w:cs="仿宋_GB2312"/>
          <w:color w:val="000000"/>
          <w:kern w:val="2"/>
          <w:sz w:val="32"/>
          <w:szCs w:val="32"/>
        </w:rPr>
        <w:t>接官坝村产业扶持项目采购、得胜镇生活垃圾清运和处理服务项目采购</w:t>
      </w:r>
      <w:r>
        <w:rPr>
          <w:rFonts w:hint="eastAsia" w:ascii="仿宋_GB2312" w:hAnsi="仿宋_GB2312" w:eastAsia="仿宋_GB2312" w:cs="仿宋_GB2312"/>
          <w:color w:val="000000"/>
          <w:kern w:val="2"/>
          <w:sz w:val="32"/>
          <w:szCs w:val="32"/>
          <w:lang w:val="zh-CN"/>
        </w:rPr>
        <w:t>等。授予中小企业合同金额</w:t>
      </w:r>
      <w:r>
        <w:rPr>
          <w:rFonts w:hint="eastAsia" w:ascii="仿宋_GB2312" w:hAnsi="仿宋_GB2312" w:eastAsia="仿宋_GB2312" w:cs="仿宋_GB2312"/>
          <w:color w:val="000000"/>
          <w:kern w:val="2"/>
          <w:sz w:val="32"/>
          <w:szCs w:val="32"/>
        </w:rPr>
        <w:t>260.15</w:t>
      </w:r>
      <w:r>
        <w:rPr>
          <w:rFonts w:hint="eastAsia" w:ascii="仿宋_GB2312" w:hAnsi="仿宋_GB2312" w:eastAsia="仿宋_GB2312" w:cs="仿宋_GB2312"/>
          <w:color w:val="000000"/>
          <w:kern w:val="2"/>
          <w:sz w:val="32"/>
          <w:szCs w:val="32"/>
          <w:lang w:val="zh-CN"/>
        </w:rPr>
        <w:t>万元，占政府采购支出总额的100%，其中：授予小微企业合同金额</w:t>
      </w:r>
      <w:r>
        <w:rPr>
          <w:rFonts w:hint="eastAsia" w:ascii="仿宋_GB2312" w:hAnsi="仿宋_GB2312" w:eastAsia="仿宋_GB2312" w:cs="仿宋_GB2312"/>
          <w:color w:val="000000"/>
          <w:kern w:val="2"/>
          <w:sz w:val="32"/>
          <w:szCs w:val="32"/>
        </w:rPr>
        <w:t>0</w:t>
      </w:r>
      <w:r>
        <w:rPr>
          <w:rFonts w:hint="eastAsia" w:ascii="仿宋_GB2312" w:hAnsi="仿宋_GB2312" w:eastAsia="仿宋_GB2312" w:cs="仿宋_GB2312"/>
          <w:color w:val="000000"/>
          <w:kern w:val="2"/>
          <w:sz w:val="32"/>
          <w:szCs w:val="32"/>
          <w:lang w:val="zh-CN"/>
        </w:rPr>
        <w:t>万元，</w:t>
      </w:r>
      <w:r>
        <w:rPr>
          <w:rFonts w:hint="eastAsia" w:ascii="仿宋_GB2312" w:hAnsi="仿宋_GB2312" w:eastAsia="仿宋_GB2312" w:cs="仿宋_GB2312"/>
          <w:kern w:val="2"/>
          <w:sz w:val="32"/>
          <w:szCs w:val="32"/>
        </w:rPr>
        <w:t>占政府采购支出总额的</w:t>
      </w:r>
      <w:r>
        <w:rPr>
          <w:rFonts w:ascii="仿宋_GB2312" w:hAnsi="仿宋_GB2312" w:eastAsia="仿宋_GB2312" w:cs="仿宋_GB2312"/>
          <w:color w:val="000000"/>
          <w:kern w:val="2"/>
          <w:sz w:val="32"/>
          <w:szCs w:val="32"/>
          <w:lang w:val="zh-CN"/>
        </w:rPr>
        <w:t>100%</w:t>
      </w:r>
      <w:r>
        <w:rPr>
          <w:rFonts w:hint="eastAsia" w:ascii="仿宋_GB2312" w:hAnsi="仿宋_GB2312" w:eastAsia="仿宋_GB2312" w:cs="仿宋_GB2312"/>
          <w:color w:val="000000"/>
          <w:kern w:val="2"/>
          <w:sz w:val="32"/>
          <w:szCs w:val="32"/>
          <w:lang w:val="zh-CN"/>
        </w:rPr>
        <w:t>。</w:t>
      </w:r>
    </w:p>
    <w:p>
      <w:pPr>
        <w:spacing w:line="600" w:lineRule="exact"/>
        <w:ind w:firstLine="643"/>
        <w:jc w:val="both"/>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（注：数据来源于财决附</w:t>
      </w:r>
      <w:r>
        <w:rPr>
          <w:rFonts w:ascii="仿宋" w:hAnsi="仿宋" w:eastAsia="仿宋" w:cs="仿宋"/>
          <w:b/>
          <w:bCs/>
          <w:kern w:val="2"/>
          <w:sz w:val="32"/>
          <w:szCs w:val="32"/>
        </w:rPr>
        <w:t>03</w:t>
      </w:r>
      <w:r>
        <w:rPr>
          <w:rFonts w:hint="eastAsia" w:ascii="仿宋" w:hAnsi="仿宋" w:eastAsia="仿宋" w:cs="仿宋"/>
          <w:b/>
          <w:bCs/>
          <w:kern w:val="2"/>
          <w:sz w:val="32"/>
          <w:szCs w:val="32"/>
        </w:rPr>
        <w:t>表）</w:t>
      </w:r>
    </w:p>
    <w:p>
      <w:pPr>
        <w:keepNext/>
        <w:keepLines/>
        <w:spacing w:line="576" w:lineRule="exact"/>
        <w:ind w:firstLine="643"/>
        <w:jc w:val="both"/>
        <w:rPr>
          <w:rFonts w:hint="eastAsia" w:ascii="仿宋_GB2312" w:hAnsi="仿宋_GB2312" w:eastAsia="仿宋_GB2312" w:cs="仿宋_GB2312"/>
          <w:b/>
          <w:bCs/>
          <w:color w:val="000000"/>
          <w:kern w:val="2"/>
          <w:sz w:val="32"/>
          <w:szCs w:val="32"/>
          <w:lang w:val="zh-CN"/>
        </w:rPr>
      </w:pPr>
      <w:r>
        <w:rPr>
          <w:rFonts w:hint="eastAsia" w:ascii="仿宋_GB2312" w:hAnsi="仿宋_GB2312" w:eastAsia="仿宋_GB2312" w:cs="仿宋_GB2312"/>
          <w:b/>
          <w:bCs/>
          <w:color w:val="000000"/>
          <w:kern w:val="2"/>
          <w:sz w:val="32"/>
          <w:szCs w:val="32"/>
          <w:lang w:val="zh-CN"/>
        </w:rPr>
        <w:t>（三）国有资产占有使用情况</w:t>
      </w:r>
    </w:p>
    <w:p>
      <w:pPr>
        <w:spacing w:line="576" w:lineRule="exact"/>
        <w:ind w:firstLine="640"/>
        <w:rPr>
          <w:rFonts w:hint="eastAsia" w:ascii="仿宋_GB2312" w:hAnsi="仿宋_GB2312" w:eastAsia="仿宋_GB2312" w:cs="仿宋_GB2312"/>
          <w:color w:val="000000"/>
          <w:kern w:val="2"/>
          <w:sz w:val="32"/>
          <w:szCs w:val="32"/>
          <w:lang w:val="zh-CN"/>
        </w:rPr>
      </w:pPr>
      <w:r>
        <w:rPr>
          <w:rFonts w:hint="eastAsia" w:ascii="仿宋_GB2312" w:hAnsi="仿宋_GB2312" w:eastAsia="仿宋_GB2312" w:cs="仿宋_GB2312"/>
          <w:color w:val="000000"/>
          <w:kern w:val="2"/>
          <w:sz w:val="32"/>
          <w:szCs w:val="32"/>
          <w:lang w:val="zh-CN"/>
        </w:rPr>
        <w:t>截至</w:t>
      </w:r>
      <w:r>
        <w:rPr>
          <w:rFonts w:ascii="仿宋_GB2312" w:hAnsi="仿宋_GB2312" w:eastAsia="仿宋_GB2312" w:cs="仿宋_GB2312"/>
          <w:color w:val="000000"/>
          <w:kern w:val="2"/>
          <w:sz w:val="32"/>
          <w:szCs w:val="32"/>
          <w:lang w:val="zh-CN"/>
        </w:rPr>
        <w:t>202</w:t>
      </w:r>
      <w:r>
        <w:rPr>
          <w:rFonts w:hint="eastAsia" w:ascii="仿宋_GB2312" w:hAnsi="仿宋_GB2312" w:eastAsia="仿宋_GB2312" w:cs="仿宋_GB2312"/>
          <w:color w:val="000000"/>
          <w:kern w:val="2"/>
          <w:sz w:val="32"/>
          <w:szCs w:val="32"/>
        </w:rPr>
        <w:t>3</w:t>
      </w:r>
      <w:r>
        <w:rPr>
          <w:rFonts w:hint="eastAsia" w:ascii="仿宋_GB2312" w:hAnsi="仿宋_GB2312" w:eastAsia="仿宋_GB2312" w:cs="仿宋_GB2312"/>
          <w:color w:val="000000"/>
          <w:kern w:val="2"/>
          <w:sz w:val="32"/>
          <w:szCs w:val="32"/>
          <w:lang w:val="zh-CN"/>
        </w:rPr>
        <w:t>年</w:t>
      </w:r>
      <w:r>
        <w:rPr>
          <w:rFonts w:ascii="仿宋_GB2312" w:hAnsi="仿宋_GB2312" w:eastAsia="仿宋_GB2312" w:cs="仿宋_GB2312"/>
          <w:color w:val="000000"/>
          <w:kern w:val="2"/>
          <w:sz w:val="32"/>
          <w:szCs w:val="32"/>
          <w:lang w:val="zh-CN"/>
        </w:rPr>
        <w:t>12</w:t>
      </w:r>
      <w:r>
        <w:rPr>
          <w:rFonts w:hint="eastAsia" w:ascii="仿宋_GB2312" w:hAnsi="仿宋_GB2312" w:eastAsia="仿宋_GB2312" w:cs="仿宋_GB2312"/>
          <w:color w:val="000000"/>
          <w:kern w:val="2"/>
          <w:sz w:val="32"/>
          <w:szCs w:val="32"/>
          <w:lang w:val="zh-CN"/>
        </w:rPr>
        <w:t>月</w:t>
      </w:r>
      <w:r>
        <w:rPr>
          <w:rFonts w:ascii="仿宋_GB2312" w:hAnsi="仿宋_GB2312" w:eastAsia="仿宋_GB2312" w:cs="仿宋_GB2312"/>
          <w:color w:val="000000"/>
          <w:kern w:val="2"/>
          <w:sz w:val="32"/>
          <w:szCs w:val="32"/>
          <w:lang w:val="zh-CN"/>
        </w:rPr>
        <w:t>31</w:t>
      </w:r>
      <w:r>
        <w:rPr>
          <w:rFonts w:hint="eastAsia" w:ascii="仿宋_GB2312" w:hAnsi="仿宋_GB2312" w:eastAsia="仿宋_GB2312" w:cs="仿宋_GB2312"/>
          <w:color w:val="000000"/>
          <w:kern w:val="2"/>
          <w:sz w:val="32"/>
          <w:szCs w:val="32"/>
          <w:lang w:val="zh-CN"/>
        </w:rPr>
        <w:t>日，泸县得胜镇人民政府</w:t>
      </w:r>
      <w:r>
        <w:rPr>
          <w:rFonts w:ascii="仿宋_GB2312" w:eastAsia="仿宋_GB2312"/>
          <w:sz w:val="32"/>
          <w:szCs w:val="32"/>
        </w:rPr>
        <w:t>(本级)</w:t>
      </w:r>
      <w:r>
        <w:rPr>
          <w:rFonts w:hint="eastAsia" w:ascii="仿宋_GB2312" w:hAnsi="仿宋_GB2312" w:eastAsia="仿宋_GB2312" w:cs="仿宋_GB2312"/>
          <w:color w:val="000000"/>
          <w:kern w:val="2"/>
          <w:sz w:val="32"/>
          <w:szCs w:val="32"/>
          <w:lang w:val="zh-CN"/>
        </w:rPr>
        <w:t>共有车辆</w:t>
      </w:r>
      <w:r>
        <w:rPr>
          <w:rFonts w:ascii="仿宋_GB2312" w:hAnsi="仿宋_GB2312" w:eastAsia="仿宋_GB2312" w:cs="仿宋_GB2312"/>
          <w:color w:val="000000"/>
          <w:kern w:val="2"/>
          <w:sz w:val="32"/>
          <w:szCs w:val="32"/>
          <w:lang w:val="zh-CN"/>
        </w:rPr>
        <w:t>1</w:t>
      </w:r>
      <w:r>
        <w:rPr>
          <w:rFonts w:hint="eastAsia" w:ascii="仿宋_GB2312" w:hAnsi="仿宋_GB2312" w:eastAsia="仿宋_GB2312" w:cs="仿宋_GB2312"/>
          <w:color w:val="000000"/>
          <w:kern w:val="2"/>
          <w:sz w:val="32"/>
          <w:szCs w:val="32"/>
          <w:lang w:val="zh-CN"/>
        </w:rPr>
        <w:t>辆，其中：特种专业技术用车</w:t>
      </w:r>
      <w:r>
        <w:rPr>
          <w:rFonts w:ascii="仿宋_GB2312" w:hAnsi="仿宋_GB2312" w:eastAsia="仿宋_GB2312" w:cs="仿宋_GB2312"/>
          <w:color w:val="000000"/>
          <w:kern w:val="2"/>
          <w:sz w:val="32"/>
          <w:szCs w:val="32"/>
          <w:lang w:val="zh-CN"/>
        </w:rPr>
        <w:t>1</w:t>
      </w:r>
      <w:r>
        <w:rPr>
          <w:rFonts w:hint="eastAsia" w:ascii="仿宋_GB2312" w:hAnsi="仿宋_GB2312" w:eastAsia="仿宋_GB2312" w:cs="仿宋_GB2312"/>
          <w:color w:val="000000"/>
          <w:kern w:val="2"/>
          <w:sz w:val="32"/>
          <w:szCs w:val="32"/>
          <w:lang w:val="zh-CN"/>
        </w:rPr>
        <w:t>辆。</w:t>
      </w:r>
      <w:r>
        <w:rPr>
          <w:rFonts w:hint="eastAsia" w:ascii="仿宋_GB2312" w:eastAsia="仿宋_GB2312"/>
          <w:sz w:val="32"/>
          <w:szCs w:val="32"/>
        </w:rPr>
        <w:t>单价</w:t>
      </w:r>
      <w:r>
        <w:rPr>
          <w:rFonts w:ascii="仿宋_GB2312" w:eastAsia="仿宋_GB2312"/>
          <w:sz w:val="32"/>
          <w:szCs w:val="32"/>
        </w:rPr>
        <w:t>100</w:t>
      </w:r>
      <w:r>
        <w:rPr>
          <w:rFonts w:hint="eastAsia" w:ascii="仿宋_GB2312" w:eastAsia="仿宋_GB2312"/>
          <w:sz w:val="32"/>
          <w:szCs w:val="32"/>
        </w:rPr>
        <w:t>万元以上设备（不含车辆）</w:t>
      </w:r>
      <w:r>
        <w:rPr>
          <w:rFonts w:hint="eastAsia" w:ascii="仿宋_GB2312" w:eastAsia="仿宋_GB2312"/>
          <w:b/>
          <w:sz w:val="32"/>
          <w:szCs w:val="32"/>
        </w:rPr>
        <w:t>0</w:t>
      </w:r>
      <w:r>
        <w:rPr>
          <w:rFonts w:hint="eastAsia" w:ascii="仿宋_GB2312" w:eastAsia="仿宋_GB2312"/>
          <w:sz w:val="32"/>
          <w:szCs w:val="32"/>
        </w:rPr>
        <w:t>台（套）</w:t>
      </w:r>
      <w:r>
        <w:rPr>
          <w:rFonts w:hint="eastAsia" w:ascii="仿宋_GB2312" w:hAnsi="仿宋_GB2312" w:eastAsia="仿宋_GB2312" w:cs="仿宋_GB2312"/>
          <w:color w:val="000000"/>
          <w:kern w:val="2"/>
          <w:sz w:val="32"/>
          <w:szCs w:val="32"/>
          <w:lang w:val="zh-CN"/>
        </w:rPr>
        <w:t>。</w:t>
      </w:r>
    </w:p>
    <w:p>
      <w:pPr>
        <w:spacing w:line="600" w:lineRule="exact"/>
        <w:ind w:firstLine="643"/>
        <w:rPr>
          <w:rFonts w:hint="eastAsia" w:ascii="仿宋" w:hAnsi="仿宋" w:eastAsia="仿宋" w:cs="仿宋"/>
          <w:b/>
          <w:bCs/>
          <w:kern w:val="2"/>
          <w:sz w:val="32"/>
          <w:szCs w:val="32"/>
        </w:rPr>
      </w:pPr>
      <w:r>
        <w:rPr>
          <w:rFonts w:hint="eastAsia" w:ascii="仿宋" w:hAnsi="仿宋" w:eastAsia="仿宋" w:cs="仿宋"/>
          <w:b/>
          <w:bCs/>
          <w:kern w:val="2"/>
          <w:sz w:val="32"/>
          <w:szCs w:val="32"/>
        </w:rPr>
        <w:t>（注：数据来源于财决附</w:t>
      </w:r>
      <w:r>
        <w:rPr>
          <w:rFonts w:ascii="仿宋" w:hAnsi="仿宋" w:eastAsia="仿宋" w:cs="仿宋"/>
          <w:b/>
          <w:bCs/>
          <w:kern w:val="2"/>
          <w:sz w:val="32"/>
          <w:szCs w:val="32"/>
        </w:rPr>
        <w:t>03</w:t>
      </w:r>
      <w:r>
        <w:rPr>
          <w:rFonts w:hint="eastAsia" w:ascii="仿宋" w:hAnsi="仿宋" w:eastAsia="仿宋" w:cs="仿宋"/>
          <w:b/>
          <w:bCs/>
          <w:kern w:val="2"/>
          <w:sz w:val="32"/>
          <w:szCs w:val="32"/>
        </w:rPr>
        <w:t>表，按单位决算报表填报数据罗列车辆情况。）</w:t>
      </w:r>
    </w:p>
    <w:p>
      <w:pPr>
        <w:keepNext/>
        <w:keepLines/>
        <w:spacing w:line="576" w:lineRule="exact"/>
        <w:ind w:firstLine="643"/>
        <w:jc w:val="both"/>
        <w:rPr>
          <w:rFonts w:hint="eastAsia" w:ascii="仿宋_GB2312" w:hAnsi="仿宋_GB2312" w:eastAsia="仿宋_GB2312" w:cs="仿宋_GB2312"/>
          <w:b/>
          <w:bCs/>
          <w:color w:val="000000"/>
          <w:kern w:val="2"/>
          <w:sz w:val="32"/>
          <w:szCs w:val="32"/>
          <w:lang w:val="zh-CN"/>
        </w:rPr>
      </w:pPr>
      <w:r>
        <w:rPr>
          <w:rFonts w:hint="eastAsia" w:ascii="仿宋_GB2312" w:hAnsi="仿宋_GB2312" w:eastAsia="仿宋_GB2312" w:cs="仿宋_GB2312"/>
          <w:b/>
          <w:bCs/>
          <w:color w:val="000000"/>
          <w:kern w:val="2"/>
          <w:sz w:val="32"/>
          <w:szCs w:val="32"/>
          <w:lang w:val="zh-CN"/>
        </w:rPr>
        <w:t>（四）预算绩效管理情况。</w:t>
      </w:r>
    </w:p>
    <w:p>
      <w:pPr>
        <w:pStyle w:val="25"/>
        <w:autoSpaceDN/>
        <w:spacing w:line="578" w:lineRule="exact"/>
        <w:ind w:firstLine="640"/>
        <w:jc w:val="center"/>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根据预算绩效管理要求，本单位在2023年度预算编制阶段，组织对得胜镇上顶山村、桐乐村灾后重建聚居点建设项目等6</w:t>
      </w:r>
    </w:p>
    <w:p>
      <w:pPr>
        <w:pStyle w:val="25"/>
        <w:autoSpaceDN/>
        <w:spacing w:line="578" w:lineRule="exact"/>
        <w:jc w:val="both"/>
        <w:rPr>
          <w:rFonts w:hint="eastAsia" w:ascii="仿宋_GB2312" w:hAnsi="Times New Roman" w:eastAsia="仿宋_GB2312"/>
          <w:color w:val="auto"/>
          <w:sz w:val="32"/>
          <w:szCs w:val="32"/>
        </w:rPr>
      </w:pPr>
      <w:r>
        <w:rPr>
          <w:rFonts w:hint="eastAsia" w:ascii="仿宋_GB2312" w:hAnsi="Times New Roman" w:eastAsia="仿宋_GB2312"/>
          <w:color w:val="auto"/>
          <w:sz w:val="32"/>
          <w:szCs w:val="32"/>
        </w:rPr>
        <w:t>个项目开展了预算事前绩效评估，对6个项目编制了绩效目标，</w:t>
      </w:r>
    </w:p>
    <w:p>
      <w:pPr>
        <w:pStyle w:val="25"/>
        <w:autoSpaceDN/>
        <w:spacing w:line="578" w:lineRule="exact"/>
        <w:jc w:val="both"/>
        <w:rPr>
          <w:rFonts w:hint="eastAsia" w:ascii="仿宋_GB2312" w:hAnsi="仿宋_GB2312" w:eastAsia="仿宋_GB2312" w:cs="仿宋_GB2312"/>
          <w:kern w:val="2"/>
          <w:sz w:val="32"/>
          <w:szCs w:val="32"/>
        </w:rPr>
      </w:pPr>
      <w:r>
        <w:rPr>
          <w:rFonts w:hint="eastAsia" w:ascii="仿宋_GB2312" w:hAnsi="Times New Roman" w:eastAsia="仿宋_GB2312"/>
          <w:color w:val="auto"/>
          <w:sz w:val="32"/>
          <w:szCs w:val="32"/>
        </w:rPr>
        <w:t>预算执行过程中，选取6个项目开展绩效监控，组织对6个项目开展绩效自评，绩效自评表详见第四部分附件</w:t>
      </w:r>
      <w:r>
        <w:rPr>
          <w:rFonts w:hint="eastAsia" w:ascii="仿宋_GB2312" w:hAnsi="仿宋_GB2312" w:eastAsia="仿宋_GB2312" w:cs="仿宋_GB2312"/>
          <w:kern w:val="2"/>
          <w:sz w:val="32"/>
          <w:szCs w:val="32"/>
        </w:rPr>
        <w:t>。</w:t>
      </w:r>
    </w:p>
    <w:p>
      <w:pPr>
        <w:spacing w:line="576" w:lineRule="exact"/>
        <w:ind w:firstLine="643"/>
        <w:jc w:val="both"/>
        <w:rPr>
          <w:rFonts w:hint="eastAsia" w:ascii="仿宋_GB2312" w:hAnsi="仿宋_GB2312" w:eastAsia="仿宋_GB2312" w:cs="仿宋_GB2312"/>
          <w:b/>
          <w:bCs/>
          <w:color w:val="000000"/>
          <w:kern w:val="2"/>
          <w:sz w:val="32"/>
          <w:szCs w:val="32"/>
          <w:lang w:val="zh-CN"/>
        </w:rPr>
      </w:pPr>
    </w:p>
    <w:p>
      <w:pPr>
        <w:pStyle w:val="3"/>
        <w:spacing w:line="576" w:lineRule="exact"/>
        <w:jc w:val="center"/>
        <w:rPr>
          <w:rFonts w:hint="eastAsia" w:ascii="黑体" w:hAnsi="黑体" w:eastAsia="黑体" w:cs="黑体"/>
          <w:sz w:val="44"/>
          <w:szCs w:val="44"/>
          <w:lang w:val="zh-CN"/>
        </w:rPr>
      </w:pPr>
      <w:bookmarkStart w:id="14" w:name="_Toc148450368"/>
    </w:p>
    <w:p>
      <w:pPr>
        <w:pStyle w:val="3"/>
        <w:spacing w:line="576" w:lineRule="exact"/>
        <w:jc w:val="center"/>
        <w:rPr>
          <w:rFonts w:hint="eastAsia" w:ascii="黑体" w:hAnsi="黑体" w:eastAsia="黑体" w:cs="黑体"/>
          <w:sz w:val="44"/>
          <w:szCs w:val="44"/>
          <w:lang w:val="zh-CN"/>
        </w:rPr>
      </w:pPr>
      <w:r>
        <w:rPr>
          <w:rFonts w:hint="eastAsia" w:ascii="黑体" w:hAnsi="黑体" w:eastAsia="黑体" w:cs="黑体"/>
          <w:sz w:val="44"/>
          <w:szCs w:val="44"/>
          <w:lang w:val="zh-CN"/>
        </w:rPr>
        <w:t>第三部分</w:t>
      </w:r>
      <w:r>
        <w:rPr>
          <w:rFonts w:ascii="黑体" w:hAnsi="黑体" w:eastAsia="黑体" w:cs="黑体"/>
          <w:sz w:val="44"/>
          <w:szCs w:val="44"/>
          <w:lang w:val="zh-CN"/>
        </w:rPr>
        <w:t xml:space="preserve"> </w:t>
      </w:r>
      <w:r>
        <w:rPr>
          <w:rFonts w:hint="eastAsia" w:ascii="黑体" w:hAnsi="黑体" w:eastAsia="黑体" w:cs="黑体"/>
          <w:sz w:val="44"/>
          <w:szCs w:val="44"/>
          <w:lang w:val="zh-CN"/>
        </w:rPr>
        <w:t>名词解释</w:t>
      </w:r>
      <w:bookmarkEnd w:id="14"/>
    </w:p>
    <w:p>
      <w:pPr>
        <w:spacing w:line="576" w:lineRule="exact"/>
        <w:ind w:firstLine="640"/>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1.</w:t>
      </w:r>
      <w:r>
        <w:rPr>
          <w:rFonts w:hint="eastAsia" w:ascii="仿宋_GB2312" w:hAnsi="仿宋_GB2312" w:eastAsia="仿宋_GB2312" w:cs="仿宋_GB2312"/>
          <w:color w:val="000000"/>
          <w:sz w:val="32"/>
          <w:szCs w:val="32"/>
        </w:rPr>
        <w:t>财政拨款收入：指单位从同级财政部门取得的财政预算资金。</w:t>
      </w:r>
    </w:p>
    <w:p>
      <w:pPr>
        <w:spacing w:line="576" w:lineRule="exact"/>
        <w:ind w:firstLine="640"/>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2.</w:t>
      </w:r>
      <w:r>
        <w:rPr>
          <w:rFonts w:hint="eastAsia" w:ascii="仿宋_GB2312" w:hAnsi="仿宋_GB2312" w:eastAsia="仿宋_GB2312" w:cs="仿宋_GB2312"/>
          <w:color w:val="000000"/>
          <w:sz w:val="32"/>
          <w:szCs w:val="32"/>
        </w:rPr>
        <w:t>其他收入：指单位取得的除上述收入以外的各项收入。</w:t>
      </w:r>
      <w:r>
        <w:rPr>
          <w:rFonts w:ascii="仿宋_GB2312" w:hAnsi="仿宋_GB2312" w:eastAsia="仿宋_GB2312" w:cs="仿宋_GB2312"/>
          <w:color w:val="000000"/>
          <w:sz w:val="32"/>
          <w:szCs w:val="32"/>
        </w:rPr>
        <w:t xml:space="preserve"> </w:t>
      </w:r>
    </w:p>
    <w:p>
      <w:pPr>
        <w:spacing w:line="576" w:lineRule="exact"/>
        <w:ind w:firstLine="640"/>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年初结转和结余：指以前年度尚未完成、结转到本年按有关规定继续使用的资金。</w:t>
      </w:r>
      <w:r>
        <w:rPr>
          <w:rFonts w:ascii="仿宋_GB2312" w:hAnsi="仿宋_GB2312" w:eastAsia="仿宋_GB2312" w:cs="仿宋_GB2312"/>
          <w:color w:val="000000"/>
          <w:sz w:val="32"/>
          <w:szCs w:val="32"/>
        </w:rPr>
        <w:t xml:space="preserve"> </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4.</w:t>
      </w:r>
      <w:r>
        <w:rPr>
          <w:rFonts w:hint="eastAsia" w:ascii="仿宋_GB2312" w:hAnsi="仿宋_GB2312" w:eastAsia="仿宋_GB2312" w:cs="仿宋_GB2312"/>
          <w:color w:val="000000"/>
          <w:kern w:val="2"/>
          <w:sz w:val="32"/>
          <w:szCs w:val="32"/>
        </w:rPr>
        <w:t>一般公共服务支出（类）人大事务（款）行政运行（项）：指行政单位的基本支出。</w:t>
      </w:r>
    </w:p>
    <w:p>
      <w:pPr>
        <w:pStyle w:val="6"/>
        <w:spacing w:before="72" w:line="576" w:lineRule="exact"/>
        <w:ind w:firstLine="640"/>
        <w:rPr>
          <w:rFonts w:hint="eastAsia" w:hAnsi="仿宋_GB2312"/>
          <w:color w:val="000000"/>
          <w:kern w:val="2"/>
          <w:sz w:val="32"/>
          <w:szCs w:val="32"/>
        </w:rPr>
      </w:pPr>
      <w:r>
        <w:rPr>
          <w:rFonts w:hAnsi="仿宋_GB2312"/>
          <w:color w:val="000000"/>
          <w:kern w:val="2"/>
          <w:sz w:val="32"/>
          <w:szCs w:val="32"/>
        </w:rPr>
        <w:t>5.</w:t>
      </w:r>
      <w:r>
        <w:rPr>
          <w:rFonts w:hint="eastAsia" w:hAnsi="仿宋_GB2312"/>
          <w:color w:val="000000"/>
          <w:kern w:val="2"/>
          <w:sz w:val="32"/>
          <w:szCs w:val="32"/>
        </w:rPr>
        <w:t>一般公共服务支出（类）政府办公厅及相关机构事务（款）行政运行（项）：指行政单位的基本支出。</w:t>
      </w:r>
    </w:p>
    <w:p>
      <w:pPr>
        <w:pStyle w:val="6"/>
        <w:spacing w:before="72" w:line="576" w:lineRule="exact"/>
        <w:ind w:firstLine="640"/>
        <w:rPr>
          <w:rFonts w:hint="eastAsia" w:hAnsi="仿宋_GB2312"/>
          <w:color w:val="000000"/>
          <w:kern w:val="2"/>
          <w:sz w:val="32"/>
          <w:szCs w:val="32"/>
        </w:rPr>
      </w:pPr>
      <w:r>
        <w:rPr>
          <w:rFonts w:hAnsi="仿宋_GB2312"/>
          <w:color w:val="000000"/>
          <w:kern w:val="2"/>
          <w:sz w:val="32"/>
          <w:szCs w:val="32"/>
        </w:rPr>
        <w:t>6.</w:t>
      </w:r>
      <w:r>
        <w:rPr>
          <w:rFonts w:hint="eastAsia" w:hAnsi="仿宋_GB2312"/>
          <w:color w:val="000000"/>
          <w:kern w:val="2"/>
          <w:sz w:val="32"/>
          <w:szCs w:val="32"/>
        </w:rPr>
        <w:t>一般公共服务支出（类）政府办公厅及相关机构事务（款）事业运行（项）：指事业单位的基本支出，不包括行政单位后勤服务中心、医务室等附属事业单位。</w:t>
      </w:r>
    </w:p>
    <w:p>
      <w:pPr>
        <w:pStyle w:val="5"/>
        <w:spacing w:line="576" w:lineRule="exact"/>
        <w:ind w:left="0" w:firstLine="640" w:firstLineChars="200"/>
        <w:rPr>
          <w:rFonts w:hint="eastAsia" w:ascii="仿宋_GB2312" w:hAnsi="仿宋_GB2312" w:eastAsia="仿宋_GB2312" w:cs="仿宋_GB2312"/>
          <w:color w:val="000000"/>
          <w:kern w:val="2"/>
          <w:sz w:val="32"/>
          <w:szCs w:val="32"/>
        </w:rPr>
      </w:pPr>
      <w:r>
        <w:rPr>
          <w:rFonts w:ascii="仿宋_GB2312" w:hAnsi="仿宋_GB2312" w:eastAsia="仿宋_GB2312" w:cs="仿宋_GB2312"/>
          <w:sz w:val="32"/>
          <w:szCs w:val="32"/>
        </w:rPr>
        <w:t>7.</w:t>
      </w:r>
      <w:r>
        <w:rPr>
          <w:rFonts w:hint="eastAsia" w:ascii="仿宋_GB2312" w:hAnsi="仿宋_GB2312" w:eastAsia="仿宋_GB2312" w:cs="仿宋_GB2312"/>
          <w:color w:val="000000"/>
          <w:kern w:val="2"/>
          <w:sz w:val="32"/>
          <w:szCs w:val="32"/>
        </w:rPr>
        <w:t>教育支出（类）普通教育（款）小学教育（项）：指部门举办的小学教育支出。</w:t>
      </w:r>
    </w:p>
    <w:p>
      <w:pPr>
        <w:pStyle w:val="5"/>
        <w:spacing w:line="576" w:lineRule="exact"/>
        <w:ind w:left="0" w:firstLine="640" w:firstLineChars="200"/>
        <w:rPr>
          <w:rFonts w:hint="eastAsia" w:ascii="仿宋_GB2312" w:hAnsi="仿宋_GB2312" w:eastAsia="仿宋_GB2312" w:cs="仿宋_GB2312"/>
          <w:color w:val="000000"/>
          <w:kern w:val="2"/>
          <w:sz w:val="32"/>
          <w:szCs w:val="32"/>
        </w:rPr>
      </w:pPr>
      <w:r>
        <w:rPr>
          <w:rFonts w:ascii="仿宋_GB2312" w:hAnsi="仿宋_GB2312" w:eastAsia="仿宋_GB2312" w:cs="仿宋_GB2312"/>
          <w:sz w:val="32"/>
          <w:szCs w:val="32"/>
        </w:rPr>
        <w:t>8.</w:t>
      </w:r>
      <w:r>
        <w:rPr>
          <w:rFonts w:hint="eastAsia" w:ascii="仿宋_GB2312" w:hAnsi="仿宋_GB2312" w:eastAsia="仿宋_GB2312" w:cs="仿宋_GB2312"/>
          <w:color w:val="000000"/>
          <w:kern w:val="2"/>
          <w:sz w:val="32"/>
          <w:szCs w:val="32"/>
        </w:rPr>
        <w:t>教育支出（类）普通教育（款）其他普通教育支出（项）：指部门举办的其他用于普通教育方面的支出。</w:t>
      </w:r>
    </w:p>
    <w:p>
      <w:pPr>
        <w:spacing w:line="576" w:lineRule="exact"/>
        <w:ind w:firstLine="640" w:firstLineChars="20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9.</w:t>
      </w:r>
      <w:r>
        <w:rPr>
          <w:rFonts w:hint="eastAsia" w:ascii="仿宋_GB2312" w:hAnsi="仿宋_GB2312" w:eastAsia="仿宋_GB2312" w:cs="仿宋_GB2312"/>
          <w:color w:val="000000"/>
          <w:kern w:val="2"/>
          <w:sz w:val="32"/>
          <w:szCs w:val="32"/>
        </w:rPr>
        <w:t>社会保障和就业支出（类）行政事业单位养老支出（款）机关事业单位基本养老保险缴费支出（项）：指单位实施养老保险制度由单位缴纳的基本养老保险支出。</w:t>
      </w:r>
    </w:p>
    <w:p>
      <w:pPr>
        <w:pStyle w:val="6"/>
        <w:spacing w:before="72" w:line="576" w:lineRule="exact"/>
        <w:ind w:firstLine="640" w:firstLineChars="200"/>
      </w:pPr>
      <w:r>
        <w:rPr>
          <w:rFonts w:hAnsi="仿宋_GB2312"/>
          <w:color w:val="000000"/>
          <w:kern w:val="2"/>
          <w:sz w:val="32"/>
          <w:szCs w:val="32"/>
        </w:rPr>
        <w:t>10.</w:t>
      </w:r>
      <w:r>
        <w:rPr>
          <w:rFonts w:hint="eastAsia" w:hAnsi="仿宋_GB2312"/>
          <w:color w:val="000000"/>
          <w:kern w:val="2"/>
          <w:sz w:val="32"/>
          <w:szCs w:val="32"/>
        </w:rPr>
        <w:t>社会保障和就业支出（类）行政事业单位养老支出（款）其他行政事业单位养老支出（项）：指其他用于单位养老方面的支出。</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11.</w:t>
      </w:r>
      <w:r>
        <w:rPr>
          <w:rFonts w:hint="eastAsia" w:ascii="仿宋_GB2312" w:hAnsi="仿宋_GB2312" w:eastAsia="仿宋_GB2312" w:cs="仿宋_GB2312"/>
          <w:color w:val="000000"/>
          <w:kern w:val="2"/>
          <w:sz w:val="32"/>
          <w:szCs w:val="32"/>
        </w:rPr>
        <w:t>卫生健康支出（类）行政事业单位医疗（款）行政单位医疗（项）</w:t>
      </w:r>
      <w:r>
        <w:rPr>
          <w:rFonts w:ascii="仿宋_GB2312" w:hAnsi="仿宋_GB2312" w:eastAsia="仿宋_GB2312" w:cs="仿宋_GB2312"/>
          <w:color w:val="000000"/>
          <w:kern w:val="2"/>
          <w:sz w:val="32"/>
          <w:szCs w:val="32"/>
        </w:rPr>
        <w:t>:</w:t>
      </w:r>
      <w:r>
        <w:rPr>
          <w:rFonts w:hint="eastAsia" w:ascii="仿宋_GB2312" w:hAnsi="仿宋_GB2312" w:eastAsia="仿宋_GB2312" w:cs="仿宋_GB2312"/>
          <w:color w:val="000000"/>
          <w:kern w:val="2"/>
          <w:sz w:val="32"/>
          <w:szCs w:val="32"/>
        </w:rPr>
        <w:t>指财政部门安排的行政单位基本医疗保险缴费经费。</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12.</w:t>
      </w:r>
      <w:r>
        <w:rPr>
          <w:rFonts w:hint="eastAsia" w:ascii="仿宋_GB2312" w:hAnsi="仿宋_GB2312" w:eastAsia="仿宋_GB2312" w:cs="仿宋_GB2312"/>
          <w:color w:val="000000"/>
          <w:kern w:val="2"/>
          <w:sz w:val="32"/>
          <w:szCs w:val="32"/>
        </w:rPr>
        <w:t>卫生健康支出（类）行政事业单位医疗（款）事业单位医疗（项）</w:t>
      </w:r>
      <w:r>
        <w:rPr>
          <w:rFonts w:ascii="仿宋_GB2312" w:hAnsi="仿宋_GB2312" w:eastAsia="仿宋_GB2312" w:cs="仿宋_GB2312"/>
          <w:color w:val="000000"/>
          <w:kern w:val="2"/>
          <w:sz w:val="32"/>
          <w:szCs w:val="32"/>
        </w:rPr>
        <w:t>:</w:t>
      </w:r>
      <w:r>
        <w:rPr>
          <w:rFonts w:hint="eastAsia" w:ascii="仿宋_GB2312" w:hAnsi="仿宋_GB2312" w:eastAsia="仿宋_GB2312" w:cs="仿宋_GB2312"/>
          <w:color w:val="000000"/>
          <w:kern w:val="2"/>
          <w:sz w:val="32"/>
          <w:szCs w:val="32"/>
        </w:rPr>
        <w:t>指财政部门安排的事业单位基本医疗保险缴费经费。</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13.</w:t>
      </w:r>
      <w:r>
        <w:rPr>
          <w:rFonts w:hint="eastAsia" w:ascii="仿宋_GB2312" w:hAnsi="仿宋_GB2312" w:eastAsia="仿宋_GB2312" w:cs="仿宋_GB2312"/>
          <w:color w:val="000000"/>
          <w:kern w:val="2"/>
          <w:sz w:val="32"/>
          <w:szCs w:val="32"/>
        </w:rPr>
        <w:t>卫生健康支出（类）行政事业单位医疗（款）公务员医疗补助（项）</w:t>
      </w:r>
      <w:r>
        <w:rPr>
          <w:rFonts w:ascii="仿宋_GB2312" w:hAnsi="仿宋_GB2312" w:eastAsia="仿宋_GB2312" w:cs="仿宋_GB2312"/>
          <w:color w:val="000000"/>
          <w:kern w:val="2"/>
          <w:sz w:val="32"/>
          <w:szCs w:val="32"/>
        </w:rPr>
        <w:t>:</w:t>
      </w:r>
      <w:r>
        <w:rPr>
          <w:rFonts w:hint="eastAsia" w:ascii="仿宋_GB2312" w:hAnsi="仿宋_GB2312" w:eastAsia="仿宋_GB2312" w:cs="仿宋_GB2312"/>
          <w:color w:val="000000"/>
          <w:kern w:val="2"/>
          <w:sz w:val="32"/>
          <w:szCs w:val="32"/>
        </w:rPr>
        <w:t>指财政部门安排的公务员医疗补助经费。</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14.</w:t>
      </w:r>
      <w:r>
        <w:rPr>
          <w:rFonts w:hint="eastAsia" w:ascii="仿宋_GB2312" w:hAnsi="仿宋_GB2312" w:eastAsia="仿宋_GB2312" w:cs="仿宋_GB2312"/>
          <w:color w:val="000000"/>
          <w:kern w:val="2"/>
          <w:sz w:val="32"/>
          <w:szCs w:val="32"/>
        </w:rPr>
        <w:t>农林水支出（类）农业农村（款）对高校毕业生到基层任职补助（项）</w:t>
      </w:r>
      <w:r>
        <w:rPr>
          <w:rFonts w:ascii="仿宋_GB2312" w:hAnsi="仿宋_GB2312" w:eastAsia="仿宋_GB2312" w:cs="仿宋_GB2312"/>
          <w:color w:val="000000"/>
          <w:kern w:val="2"/>
          <w:sz w:val="32"/>
          <w:szCs w:val="32"/>
        </w:rPr>
        <w:t>:</w:t>
      </w:r>
      <w:r>
        <w:rPr>
          <w:rFonts w:hint="eastAsia" w:ascii="仿宋_GB2312" w:hAnsi="仿宋_GB2312" w:eastAsia="仿宋_GB2312" w:cs="仿宋_GB2312"/>
          <w:color w:val="000000"/>
          <w:kern w:val="2"/>
          <w:sz w:val="32"/>
          <w:szCs w:val="32"/>
        </w:rPr>
        <w:t>指按规定对高校毕业生到基层任职的补助支出。</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15.</w:t>
      </w:r>
      <w:r>
        <w:rPr>
          <w:rFonts w:hint="eastAsia" w:ascii="仿宋_GB2312" w:hAnsi="仿宋_GB2312" w:eastAsia="仿宋_GB2312" w:cs="仿宋_GB2312"/>
          <w:color w:val="000000"/>
          <w:kern w:val="2"/>
          <w:sz w:val="32"/>
          <w:szCs w:val="32"/>
        </w:rPr>
        <w:t>农林水支出（类）水利（款）抗旱（项）</w:t>
      </w:r>
      <w:r>
        <w:rPr>
          <w:rFonts w:ascii="仿宋_GB2312" w:hAnsi="仿宋_GB2312" w:eastAsia="仿宋_GB2312" w:cs="仿宋_GB2312"/>
          <w:color w:val="000000"/>
          <w:kern w:val="2"/>
          <w:sz w:val="32"/>
          <w:szCs w:val="32"/>
        </w:rPr>
        <w:t>:</w:t>
      </w:r>
      <w:r>
        <w:rPr>
          <w:rFonts w:hint="eastAsia" w:ascii="仿宋_GB2312" w:hAnsi="仿宋_GB2312" w:eastAsia="仿宋_GB2312" w:cs="仿宋_GB2312"/>
          <w:color w:val="000000"/>
          <w:kern w:val="2"/>
          <w:sz w:val="32"/>
          <w:szCs w:val="32"/>
        </w:rPr>
        <w:t>指抗旱业务支出，包括旱情监测及报旱，抗旱物资购置管护，抗旱设施设备运转维护，抗旱应急水源建设等。</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16.</w:t>
      </w:r>
      <w:r>
        <w:rPr>
          <w:rFonts w:hint="eastAsia" w:ascii="仿宋_GB2312" w:hAnsi="仿宋_GB2312" w:eastAsia="仿宋_GB2312" w:cs="仿宋_GB2312"/>
          <w:color w:val="000000"/>
          <w:kern w:val="2"/>
          <w:sz w:val="32"/>
          <w:szCs w:val="32"/>
        </w:rPr>
        <w:t>农林水支出（类）农村综合改革（款）对村民委员会和村党支部的补助（项）：指各级财政对村民委员会和村党支部的补助支出，以及支持建立县级基本财力保障机制安排的村级组织运转奖补资金。</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17.</w:t>
      </w:r>
      <w:r>
        <w:rPr>
          <w:rFonts w:hint="eastAsia" w:ascii="仿宋_GB2312" w:hAnsi="仿宋_GB2312" w:eastAsia="仿宋_GB2312" w:cs="仿宋_GB2312"/>
          <w:color w:val="000000"/>
          <w:kern w:val="2"/>
          <w:sz w:val="32"/>
          <w:szCs w:val="32"/>
        </w:rPr>
        <w:t>住房保障支出（类）</w:t>
      </w:r>
      <w:r>
        <w:rPr>
          <w:rStyle w:val="20"/>
          <w:rFonts w:hint="eastAsia" w:ascii="仿宋_GB2312" w:hAnsi="仿宋_GB2312" w:eastAsia="仿宋_GB2312" w:cs="仿宋_GB2312"/>
          <w:b w:val="0"/>
          <w:bCs w:val="0"/>
          <w:color w:val="000000"/>
          <w:sz w:val="32"/>
          <w:szCs w:val="32"/>
        </w:rPr>
        <w:t>住房改革支出（款）住房公积金（项）</w:t>
      </w:r>
      <w:r>
        <w:rPr>
          <w:rFonts w:hint="eastAsia" w:ascii="仿宋_GB2312" w:hAnsi="仿宋_GB2312" w:eastAsia="仿宋_GB2312" w:cs="仿宋_GB2312"/>
          <w:color w:val="000000"/>
          <w:kern w:val="2"/>
          <w:sz w:val="32"/>
          <w:szCs w:val="32"/>
        </w:rPr>
        <w:t>：指单位按人力资源和社会保障部、财政部规定的基本工资和津贴补贴以及规定比例为职工缴纳的住房公积金。</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18.</w:t>
      </w:r>
      <w:r>
        <w:rPr>
          <w:rFonts w:hint="eastAsia" w:ascii="仿宋_GB2312" w:hAnsi="仿宋_GB2312" w:eastAsia="仿宋_GB2312" w:cs="仿宋_GB2312"/>
          <w:color w:val="000000"/>
          <w:kern w:val="2"/>
          <w:sz w:val="32"/>
          <w:szCs w:val="32"/>
        </w:rPr>
        <w:t>基本支出：指为保障机构正常运转、完成日常工作任务而发生的人员支出和公用支出。</w:t>
      </w:r>
    </w:p>
    <w:p>
      <w:pPr>
        <w:spacing w:line="576" w:lineRule="exact"/>
        <w:ind w:firstLine="640"/>
        <w:jc w:val="both"/>
        <w:rPr>
          <w:rFonts w:hint="eastAsia" w:ascii="仿宋_GB2312" w:hAnsi="仿宋_GB2312" w:eastAsia="仿宋_GB2312" w:cs="仿宋_GB2312"/>
          <w:color w:val="000000"/>
          <w:kern w:val="2"/>
          <w:sz w:val="32"/>
          <w:szCs w:val="32"/>
        </w:rPr>
      </w:pPr>
      <w:r>
        <w:rPr>
          <w:rFonts w:ascii="仿宋_GB2312" w:hAnsi="仿宋_GB2312" w:eastAsia="仿宋_GB2312" w:cs="仿宋_GB2312"/>
          <w:color w:val="000000"/>
          <w:kern w:val="2"/>
          <w:sz w:val="32"/>
          <w:szCs w:val="32"/>
        </w:rPr>
        <w:t>19.</w:t>
      </w:r>
      <w:r>
        <w:rPr>
          <w:rFonts w:hint="eastAsia" w:ascii="仿宋_GB2312" w:hAnsi="仿宋_GB2312" w:eastAsia="仿宋_GB2312" w:cs="仿宋_GB2312"/>
          <w:color w:val="000000"/>
          <w:kern w:val="2"/>
          <w:sz w:val="32"/>
          <w:szCs w:val="32"/>
        </w:rPr>
        <w:t>项目支出：指在基本支出之外为完成特定行政任务和事业发展目标所发生的支出。</w:t>
      </w:r>
      <w:r>
        <w:rPr>
          <w:rFonts w:ascii="仿宋_GB2312" w:hAnsi="仿宋_GB2312" w:eastAsia="仿宋_GB2312" w:cs="仿宋_GB2312"/>
          <w:color w:val="000000"/>
          <w:kern w:val="2"/>
          <w:sz w:val="32"/>
          <w:szCs w:val="32"/>
        </w:rPr>
        <w:t xml:space="preserve"> </w:t>
      </w:r>
    </w:p>
    <w:p>
      <w:pPr>
        <w:spacing w:line="576" w:lineRule="exact"/>
        <w:ind w:firstLine="640"/>
        <w:rPr>
          <w:rFonts w:hint="eastAsia" w:ascii="仿宋_GB2312" w:hAnsi="仿宋_GB2312" w:eastAsia="仿宋_GB2312" w:cs="仿宋_GB2312"/>
          <w:color w:val="000000"/>
          <w:sz w:val="32"/>
          <w:szCs w:val="32"/>
        </w:rPr>
      </w:pPr>
      <w:r>
        <w:rPr>
          <w:rFonts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spacing w:line="576" w:lineRule="exact"/>
        <w:ind w:firstLine="640"/>
        <w:rPr>
          <w:rFonts w:hint="eastAsia" w:ascii="仿宋_GB2312" w:hAnsi="仿宋_GB2312" w:eastAsia="仿宋_GB2312" w:cs="仿宋_GB2312"/>
          <w:sz w:val="32"/>
          <w:szCs w:val="32"/>
        </w:rPr>
      </w:pPr>
      <w:r>
        <w:rPr>
          <w:rFonts w:ascii="仿宋_GB2312" w:hAnsi="仿宋_GB2312" w:eastAsia="仿宋_GB2312" w:cs="仿宋_GB2312"/>
          <w:color w:val="000000"/>
          <w:sz w:val="32"/>
          <w:szCs w:val="32"/>
        </w:rPr>
        <w:t>21.</w:t>
      </w:r>
      <w:r>
        <w:rPr>
          <w:rFonts w:hint="eastAsia" w:ascii="仿宋_GB2312" w:hAnsi="仿宋_GB2312" w:eastAsia="仿宋_GB2312" w:cs="仿宋_GB2312"/>
          <w:color w:val="000000"/>
          <w:sz w:val="32"/>
          <w:szCs w:val="32"/>
        </w:rPr>
        <w:t>机关运行经费：</w:t>
      </w:r>
      <w:r>
        <w:rPr>
          <w:rFonts w:hint="eastAsia" w:ascii="仿宋_GB2312" w:hAnsi="仿宋_GB2312" w:eastAsia="仿宋_GB2312" w:cs="仿宋_GB2312"/>
          <w:sz w:val="32"/>
          <w:szCs w:val="32"/>
        </w:rPr>
        <w:t>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6"/>
        <w:spacing w:before="72"/>
        <w:rPr>
          <w:rFonts w:hint="eastAsia" w:hAnsi="仿宋_GB2312"/>
          <w:sz w:val="32"/>
          <w:szCs w:val="32"/>
        </w:rPr>
      </w:pPr>
    </w:p>
    <w:p>
      <w:pPr>
        <w:pStyle w:val="3"/>
        <w:spacing w:line="576" w:lineRule="exact"/>
        <w:jc w:val="both"/>
        <w:rPr>
          <w:rFonts w:hint="eastAsia" w:ascii="黑体" w:hAnsi="黑体" w:eastAsia="黑体" w:cs="黑体"/>
          <w:sz w:val="44"/>
          <w:szCs w:val="44"/>
          <w:lang w:val="zh-CN"/>
        </w:rPr>
      </w:pPr>
      <w:bookmarkStart w:id="15" w:name="_Toc148450369"/>
    </w:p>
    <w:p>
      <w:pPr>
        <w:pStyle w:val="3"/>
        <w:spacing w:line="576" w:lineRule="exact"/>
        <w:jc w:val="center"/>
        <w:rPr>
          <w:rFonts w:hint="eastAsia" w:ascii="黑体" w:hAnsi="黑体" w:eastAsia="黑体" w:cs="黑体"/>
          <w:sz w:val="44"/>
          <w:szCs w:val="44"/>
          <w:lang w:val="zh-CN"/>
        </w:rPr>
      </w:pPr>
      <w:r>
        <w:rPr>
          <w:rFonts w:hint="eastAsia" w:ascii="黑体" w:hAnsi="黑体" w:eastAsia="黑体" w:cs="黑体"/>
          <w:sz w:val="44"/>
          <w:szCs w:val="44"/>
          <w:lang w:val="zh-CN"/>
        </w:rPr>
        <w:t>第四部分附件</w:t>
      </w:r>
      <w:bookmarkEnd w:id="15"/>
    </w:p>
    <w:p>
      <w:pPr>
        <w:rPr>
          <w:lang w:val="zh-CN"/>
        </w:rPr>
      </w:pPr>
    </w:p>
    <w:p>
      <w:pPr>
        <w:widowControl/>
      </w:pPr>
      <w:r>
        <w:rPr>
          <w:rFonts w:ascii="宋体" w:hAnsi="宋体" w:eastAsia="宋体" w:cs="宋体"/>
          <w:lang w:bidi="ar"/>
        </w:rPr>
        <w:drawing>
          <wp:inline distT="0" distB="0" distL="114300" distR="114300">
            <wp:extent cx="5524500" cy="6200775"/>
            <wp:effectExtent l="0" t="0" r="0" b="952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18"/>
                    <a:stretch>
                      <a:fillRect/>
                    </a:stretch>
                  </pic:blipFill>
                  <pic:spPr>
                    <a:xfrm>
                      <a:off x="0" y="0"/>
                      <a:ext cx="5524500" cy="6200775"/>
                    </a:xfrm>
                    <a:prstGeom prst="rect">
                      <a:avLst/>
                    </a:prstGeom>
                    <a:noFill/>
                    <a:ln w="9525">
                      <a:noFill/>
                    </a:ln>
                  </pic:spPr>
                </pic:pic>
              </a:graphicData>
            </a:graphic>
          </wp:inline>
        </w:drawing>
      </w:r>
    </w:p>
    <w:p>
      <w:pPr>
        <w:widowControl/>
        <w:jc w:val="center"/>
      </w:pPr>
    </w:p>
    <w:p>
      <w:pPr>
        <w:widowControl/>
        <w:rPr>
          <w:rFonts w:ascii="宋体" w:hAnsi="宋体" w:eastAsia="宋体" w:cs="宋体"/>
          <w:lang w:bidi="ar"/>
        </w:rPr>
      </w:pPr>
    </w:p>
    <w:p>
      <w:pPr>
        <w:widowControl/>
        <w:rPr>
          <w:rFonts w:ascii="宋体" w:hAnsi="宋体" w:eastAsia="宋体" w:cs="宋体"/>
          <w:lang w:bidi="ar"/>
        </w:rPr>
      </w:pPr>
    </w:p>
    <w:p>
      <w:pPr>
        <w:pStyle w:val="2"/>
      </w:pPr>
    </w:p>
    <w:p>
      <w:pPr>
        <w:widowControl/>
      </w:pPr>
      <w:r>
        <w:rPr>
          <w:rFonts w:ascii="宋体" w:hAnsi="宋体" w:eastAsia="宋体" w:cs="宋体"/>
          <w:lang w:bidi="ar"/>
        </w:rPr>
        <w:drawing>
          <wp:inline distT="0" distB="0" distL="114300" distR="114300">
            <wp:extent cx="5534660" cy="6324600"/>
            <wp:effectExtent l="0" t="0" r="889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19"/>
                    <a:stretch>
                      <a:fillRect/>
                    </a:stretch>
                  </pic:blipFill>
                  <pic:spPr>
                    <a:xfrm>
                      <a:off x="0" y="0"/>
                      <a:ext cx="5534660" cy="6324600"/>
                    </a:xfrm>
                    <a:prstGeom prst="rect">
                      <a:avLst/>
                    </a:prstGeom>
                    <a:noFill/>
                    <a:ln w="9525">
                      <a:noFill/>
                    </a:ln>
                  </pic:spPr>
                </pic:pic>
              </a:graphicData>
            </a:graphic>
          </wp:inline>
        </w:drawing>
      </w:r>
    </w:p>
    <w:p>
      <w:pPr>
        <w:widowControl/>
      </w:pPr>
    </w:p>
    <w:p>
      <w:pPr>
        <w:widowControl/>
      </w:pPr>
    </w:p>
    <w:p>
      <w:pPr>
        <w:pStyle w:val="5"/>
        <w:ind w:left="0"/>
      </w:pPr>
    </w:p>
    <w:p>
      <w:pPr>
        <w:pStyle w:val="5"/>
        <w:ind w:left="0"/>
      </w:pPr>
    </w:p>
    <w:p/>
    <w:p>
      <w:pPr>
        <w:pStyle w:val="2"/>
      </w:pPr>
    </w:p>
    <w:p>
      <w:pPr>
        <w:widowControl/>
      </w:pPr>
      <w:r>
        <w:rPr>
          <w:rFonts w:ascii="宋体" w:hAnsi="宋体" w:eastAsia="宋体" w:cs="宋体"/>
          <w:lang w:bidi="ar"/>
        </w:rPr>
        <w:drawing>
          <wp:inline distT="0" distB="0" distL="114300" distR="114300">
            <wp:extent cx="5514975" cy="64293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0"/>
                    <a:stretch>
                      <a:fillRect/>
                    </a:stretch>
                  </pic:blipFill>
                  <pic:spPr>
                    <a:xfrm>
                      <a:off x="0" y="0"/>
                      <a:ext cx="5514975" cy="6429375"/>
                    </a:xfrm>
                    <a:prstGeom prst="rect">
                      <a:avLst/>
                    </a:prstGeom>
                    <a:noFill/>
                    <a:ln w="9525">
                      <a:noFill/>
                    </a:ln>
                  </pic:spPr>
                </pic:pic>
              </a:graphicData>
            </a:graphic>
          </wp:inline>
        </w:drawing>
      </w:r>
    </w:p>
    <w:p>
      <w:pPr>
        <w:widowControl/>
      </w:pPr>
    </w:p>
    <w:p>
      <w:pPr>
        <w:pStyle w:val="5"/>
        <w:ind w:left="0"/>
      </w:pPr>
    </w:p>
    <w:p/>
    <w:p>
      <w:pPr>
        <w:pStyle w:val="2"/>
      </w:pPr>
    </w:p>
    <w:p/>
    <w:p>
      <w:pPr>
        <w:pStyle w:val="2"/>
      </w:pPr>
    </w:p>
    <w:p/>
    <w:p>
      <w:pPr>
        <w:widowControl/>
      </w:pPr>
      <w:r>
        <w:rPr>
          <w:rFonts w:ascii="宋体" w:hAnsi="宋体" w:eastAsia="宋体" w:cs="宋体"/>
          <w:lang w:bidi="ar"/>
        </w:rPr>
        <w:drawing>
          <wp:inline distT="0" distB="0" distL="114300" distR="114300">
            <wp:extent cx="5534660" cy="6591300"/>
            <wp:effectExtent l="0" t="0" r="889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1"/>
                    <a:stretch>
                      <a:fillRect/>
                    </a:stretch>
                  </pic:blipFill>
                  <pic:spPr>
                    <a:xfrm>
                      <a:off x="0" y="0"/>
                      <a:ext cx="5534660" cy="6591300"/>
                    </a:xfrm>
                    <a:prstGeom prst="rect">
                      <a:avLst/>
                    </a:prstGeom>
                    <a:noFill/>
                    <a:ln w="9525">
                      <a:noFill/>
                    </a:ln>
                  </pic:spPr>
                </pic:pic>
              </a:graphicData>
            </a:graphic>
          </wp:inline>
        </w:drawing>
      </w:r>
    </w:p>
    <w:p/>
    <w:p>
      <w:pPr>
        <w:pStyle w:val="2"/>
      </w:pPr>
    </w:p>
    <w:p/>
    <w:p>
      <w:pPr>
        <w:pStyle w:val="2"/>
      </w:pPr>
    </w:p>
    <w:p/>
    <w:p>
      <w:pPr>
        <w:widowControl/>
      </w:pPr>
      <w:r>
        <w:rPr>
          <w:rFonts w:ascii="宋体" w:hAnsi="宋体" w:eastAsia="宋体" w:cs="宋体"/>
          <w:lang w:bidi="ar"/>
        </w:rPr>
        <w:drawing>
          <wp:inline distT="0" distB="0" distL="114300" distR="114300">
            <wp:extent cx="5514975" cy="66198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2"/>
                    <a:stretch>
                      <a:fillRect/>
                    </a:stretch>
                  </pic:blipFill>
                  <pic:spPr>
                    <a:xfrm>
                      <a:off x="0" y="0"/>
                      <a:ext cx="5514975" cy="6619875"/>
                    </a:xfrm>
                    <a:prstGeom prst="rect">
                      <a:avLst/>
                    </a:prstGeom>
                    <a:noFill/>
                    <a:ln w="9525">
                      <a:noFill/>
                    </a:ln>
                  </pic:spPr>
                </pic:pic>
              </a:graphicData>
            </a:graphic>
          </wp:inline>
        </w:drawing>
      </w:r>
    </w:p>
    <w:p>
      <w:pPr>
        <w:pStyle w:val="5"/>
      </w:pPr>
    </w:p>
    <w:p/>
    <w:p>
      <w:pPr>
        <w:pStyle w:val="2"/>
      </w:pPr>
    </w:p>
    <w:p/>
    <w:p>
      <w:pPr>
        <w:widowControl/>
      </w:pPr>
      <w:r>
        <w:rPr>
          <w:rFonts w:ascii="宋体" w:hAnsi="宋体" w:eastAsia="宋体" w:cs="宋体"/>
          <w:lang w:bidi="ar"/>
        </w:rPr>
        <w:drawing>
          <wp:inline distT="0" distB="0" distL="114300" distR="114300">
            <wp:extent cx="5486400" cy="6410325"/>
            <wp:effectExtent l="0" t="0" r="0" b="952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23"/>
                    <a:stretch>
                      <a:fillRect/>
                    </a:stretch>
                  </pic:blipFill>
                  <pic:spPr>
                    <a:xfrm>
                      <a:off x="0" y="0"/>
                      <a:ext cx="5486400" cy="6410325"/>
                    </a:xfrm>
                    <a:prstGeom prst="rect">
                      <a:avLst/>
                    </a:prstGeom>
                    <a:noFill/>
                    <a:ln w="9525">
                      <a:noFill/>
                    </a:ln>
                  </pic:spPr>
                </pic:pic>
              </a:graphicData>
            </a:graphic>
          </wp:inline>
        </w:drawing>
      </w:r>
    </w:p>
    <w:p/>
    <w:p>
      <w:pPr>
        <w:pStyle w:val="2"/>
      </w:pPr>
    </w:p>
    <w:p/>
    <w:p>
      <w:pPr>
        <w:pStyle w:val="2"/>
      </w:pPr>
    </w:p>
    <w:p/>
    <w:p>
      <w:pPr>
        <w:widowControl/>
      </w:pPr>
      <w:r>
        <w:rPr>
          <w:rFonts w:ascii="宋体" w:hAnsi="宋体" w:eastAsia="宋体" w:cs="宋体"/>
          <w:lang w:bidi="ar"/>
        </w:rPr>
        <w:drawing>
          <wp:inline distT="0" distB="0" distL="114300" distR="114300">
            <wp:extent cx="5543550" cy="6296025"/>
            <wp:effectExtent l="0" t="0" r="0"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24"/>
                    <a:stretch>
                      <a:fillRect/>
                    </a:stretch>
                  </pic:blipFill>
                  <pic:spPr>
                    <a:xfrm>
                      <a:off x="0" y="0"/>
                      <a:ext cx="5543550" cy="6296025"/>
                    </a:xfrm>
                    <a:prstGeom prst="rect">
                      <a:avLst/>
                    </a:prstGeom>
                    <a:noFill/>
                    <a:ln w="9525">
                      <a:noFill/>
                    </a:ln>
                  </pic:spPr>
                </pic:pic>
              </a:graphicData>
            </a:graphic>
          </wp:inline>
        </w:drawing>
      </w:r>
    </w:p>
    <w:p>
      <w:pPr>
        <w:pStyle w:val="6"/>
        <w:spacing w:before="72"/>
      </w:pPr>
    </w:p>
    <w:p>
      <w:pPr>
        <w:pStyle w:val="5"/>
      </w:pPr>
    </w:p>
    <w:p/>
    <w:p>
      <w:pPr>
        <w:pStyle w:val="2"/>
      </w:pPr>
    </w:p>
    <w:p/>
    <w:p>
      <w:pPr>
        <w:pStyle w:val="2"/>
      </w:pPr>
    </w:p>
    <w:p/>
    <w:p>
      <w:pPr>
        <w:widowControl/>
      </w:pPr>
      <w:r>
        <w:rPr>
          <w:rFonts w:ascii="宋体" w:hAnsi="宋体" w:eastAsia="宋体" w:cs="宋体"/>
          <w:lang w:bidi="ar"/>
        </w:rPr>
        <w:drawing>
          <wp:inline distT="0" distB="0" distL="114300" distR="114300">
            <wp:extent cx="5534660" cy="6334125"/>
            <wp:effectExtent l="0" t="0" r="8890" b="952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25"/>
                    <a:stretch>
                      <a:fillRect/>
                    </a:stretch>
                  </pic:blipFill>
                  <pic:spPr>
                    <a:xfrm>
                      <a:off x="0" y="0"/>
                      <a:ext cx="5534660" cy="6334125"/>
                    </a:xfrm>
                    <a:prstGeom prst="rect">
                      <a:avLst/>
                    </a:prstGeom>
                    <a:noFill/>
                    <a:ln w="9525">
                      <a:noFill/>
                    </a:ln>
                  </pic:spPr>
                </pic:pic>
              </a:graphicData>
            </a:graphic>
          </wp:inline>
        </w:drawing>
      </w:r>
    </w:p>
    <w:p>
      <w:pPr>
        <w:pStyle w:val="5"/>
        <w:ind w:left="0"/>
      </w:pPr>
    </w:p>
    <w:p/>
    <w:p>
      <w:pPr>
        <w:pStyle w:val="2"/>
      </w:pPr>
    </w:p>
    <w:p/>
    <w:p>
      <w:pPr>
        <w:pStyle w:val="2"/>
      </w:pPr>
    </w:p>
    <w:p/>
    <w:p>
      <w:pPr>
        <w:widowControl/>
      </w:pPr>
      <w:r>
        <w:rPr>
          <w:rFonts w:ascii="宋体" w:hAnsi="宋体" w:eastAsia="宋体" w:cs="宋体"/>
          <w:lang w:bidi="ar"/>
        </w:rPr>
        <w:drawing>
          <wp:inline distT="0" distB="0" distL="114300" distR="114300">
            <wp:extent cx="5525135" cy="6248400"/>
            <wp:effectExtent l="0" t="0" r="18415"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26"/>
                    <a:stretch>
                      <a:fillRect/>
                    </a:stretch>
                  </pic:blipFill>
                  <pic:spPr>
                    <a:xfrm>
                      <a:off x="0" y="0"/>
                      <a:ext cx="5525135" cy="6248400"/>
                    </a:xfrm>
                    <a:prstGeom prst="rect">
                      <a:avLst/>
                    </a:prstGeom>
                    <a:noFill/>
                    <a:ln w="9525">
                      <a:noFill/>
                    </a:ln>
                  </pic:spPr>
                </pic:pic>
              </a:graphicData>
            </a:graphic>
          </wp:inline>
        </w:drawing>
      </w:r>
    </w:p>
    <w:p>
      <w:pPr>
        <w:widowControl/>
      </w:pPr>
    </w:p>
    <w:p>
      <w:pPr>
        <w:widowControl/>
      </w:pPr>
    </w:p>
    <w:p>
      <w:pPr>
        <w:pStyle w:val="5"/>
      </w:pPr>
      <w:r>
        <w:rPr>
          <w:rFonts w:hint="eastAsia"/>
        </w:rPr>
        <w:t>、</w:t>
      </w:r>
    </w:p>
    <w:p/>
    <w:p>
      <w:pPr>
        <w:pStyle w:val="6"/>
        <w:spacing w:before="72"/>
      </w:pPr>
    </w:p>
    <w:p>
      <w:pPr>
        <w:pStyle w:val="5"/>
      </w:pPr>
    </w:p>
    <w:p/>
    <w:p>
      <w:pPr>
        <w:pStyle w:val="6"/>
        <w:spacing w:before="72"/>
      </w:pPr>
    </w:p>
    <w:p>
      <w:pPr>
        <w:pStyle w:val="5"/>
      </w:pPr>
    </w:p>
    <w:p>
      <w:pPr>
        <w:pStyle w:val="3"/>
        <w:spacing w:line="576" w:lineRule="exact"/>
        <w:jc w:val="center"/>
        <w:rPr>
          <w:rFonts w:hint="eastAsia" w:ascii="黑体" w:hAnsi="黑体" w:eastAsia="黑体" w:cs="黑体"/>
          <w:sz w:val="44"/>
          <w:szCs w:val="44"/>
          <w:lang w:val="zh-CN"/>
        </w:rPr>
      </w:pPr>
      <w:bookmarkStart w:id="16" w:name="_Toc148450370"/>
      <w:r>
        <w:rPr>
          <w:rFonts w:hint="eastAsia" w:ascii="黑体" w:hAnsi="黑体" w:eastAsia="黑体" w:cs="黑体"/>
          <w:sz w:val="44"/>
          <w:szCs w:val="44"/>
          <w:lang w:val="zh-CN"/>
        </w:rPr>
        <w:t>第五部分</w:t>
      </w:r>
      <w:r>
        <w:rPr>
          <w:rFonts w:ascii="黑体" w:hAnsi="黑体" w:eastAsia="黑体" w:cs="黑体"/>
          <w:sz w:val="44"/>
          <w:szCs w:val="44"/>
          <w:lang w:val="zh-CN"/>
        </w:rPr>
        <w:t xml:space="preserve"> </w:t>
      </w:r>
      <w:r>
        <w:rPr>
          <w:rFonts w:hint="eastAsia" w:ascii="黑体" w:hAnsi="黑体" w:eastAsia="黑体" w:cs="黑体"/>
          <w:sz w:val="44"/>
          <w:szCs w:val="44"/>
          <w:lang w:val="zh-CN"/>
        </w:rPr>
        <w:t>附表</w:t>
      </w:r>
      <w:bookmarkEnd w:id="16"/>
    </w:p>
    <w:p>
      <w:pPr>
        <w:pStyle w:val="4"/>
        <w:spacing w:line="576" w:lineRule="exact"/>
        <w:ind w:firstLine="640" w:firstLineChars="200"/>
        <w:rPr>
          <w:rFonts w:hint="eastAsia" w:ascii="仿宋" w:hAnsi="仿宋" w:eastAsia="仿宋" w:cs="黑体"/>
          <w:kern w:val="2"/>
          <w:sz w:val="32"/>
          <w:szCs w:val="32"/>
        </w:rPr>
      </w:pPr>
      <w:bookmarkStart w:id="17" w:name="_Toc148450371"/>
      <w:r>
        <w:rPr>
          <w:rFonts w:hint="eastAsia" w:ascii="仿宋" w:hAnsi="仿宋" w:eastAsia="仿宋" w:cs="黑体"/>
          <w:kern w:val="2"/>
          <w:sz w:val="32"/>
          <w:szCs w:val="32"/>
        </w:rPr>
        <w:t>一、收入支出决算总表</w:t>
      </w:r>
      <w:bookmarkEnd w:id="17"/>
    </w:p>
    <w:p>
      <w:pPr>
        <w:pStyle w:val="4"/>
        <w:spacing w:line="576" w:lineRule="exact"/>
        <w:ind w:firstLine="640" w:firstLineChars="200"/>
        <w:rPr>
          <w:rFonts w:hint="eastAsia" w:ascii="仿宋" w:hAnsi="仿宋" w:eastAsia="仿宋" w:cs="黑体"/>
          <w:kern w:val="2"/>
          <w:sz w:val="32"/>
          <w:szCs w:val="32"/>
        </w:rPr>
      </w:pPr>
      <w:bookmarkStart w:id="18" w:name="_Toc148450372"/>
      <w:r>
        <w:rPr>
          <w:rFonts w:hint="eastAsia" w:ascii="仿宋" w:hAnsi="仿宋" w:eastAsia="仿宋" w:cs="黑体"/>
          <w:kern w:val="2"/>
          <w:sz w:val="32"/>
          <w:szCs w:val="32"/>
        </w:rPr>
        <w:t>二、收入决算表</w:t>
      </w:r>
      <w:bookmarkEnd w:id="18"/>
    </w:p>
    <w:p>
      <w:pPr>
        <w:pStyle w:val="4"/>
        <w:spacing w:line="576" w:lineRule="exact"/>
        <w:ind w:firstLine="640" w:firstLineChars="200"/>
        <w:rPr>
          <w:rFonts w:hint="eastAsia" w:ascii="仿宋" w:hAnsi="仿宋" w:eastAsia="仿宋" w:cs="黑体"/>
          <w:kern w:val="2"/>
          <w:sz w:val="32"/>
          <w:szCs w:val="32"/>
        </w:rPr>
      </w:pPr>
      <w:bookmarkStart w:id="19" w:name="_Toc148450373"/>
      <w:r>
        <w:rPr>
          <w:rFonts w:hint="eastAsia" w:ascii="仿宋" w:hAnsi="仿宋" w:eastAsia="仿宋" w:cs="黑体"/>
          <w:kern w:val="2"/>
          <w:sz w:val="32"/>
          <w:szCs w:val="32"/>
        </w:rPr>
        <w:t>三、支出决算表</w:t>
      </w:r>
      <w:bookmarkEnd w:id="19"/>
    </w:p>
    <w:p>
      <w:pPr>
        <w:pStyle w:val="4"/>
        <w:spacing w:line="576" w:lineRule="exact"/>
        <w:ind w:firstLine="640" w:firstLineChars="200"/>
        <w:rPr>
          <w:rFonts w:hint="eastAsia" w:ascii="仿宋" w:hAnsi="仿宋" w:eastAsia="仿宋" w:cs="黑体"/>
          <w:kern w:val="2"/>
          <w:sz w:val="32"/>
          <w:szCs w:val="32"/>
        </w:rPr>
      </w:pPr>
      <w:bookmarkStart w:id="20" w:name="_Toc148450374"/>
      <w:r>
        <w:rPr>
          <w:rFonts w:hint="eastAsia" w:ascii="仿宋" w:hAnsi="仿宋" w:eastAsia="仿宋" w:cs="黑体"/>
          <w:kern w:val="2"/>
          <w:sz w:val="32"/>
          <w:szCs w:val="32"/>
        </w:rPr>
        <w:t>四、财政拨款收入支出决算总表</w:t>
      </w:r>
      <w:bookmarkEnd w:id="20"/>
    </w:p>
    <w:p>
      <w:pPr>
        <w:pStyle w:val="4"/>
        <w:spacing w:line="576" w:lineRule="exact"/>
        <w:ind w:firstLine="640" w:firstLineChars="200"/>
        <w:rPr>
          <w:rFonts w:hint="eastAsia" w:ascii="仿宋" w:hAnsi="仿宋" w:eastAsia="仿宋" w:cs="黑体"/>
          <w:kern w:val="2"/>
          <w:sz w:val="32"/>
          <w:szCs w:val="32"/>
        </w:rPr>
      </w:pPr>
      <w:bookmarkStart w:id="21" w:name="_Toc148450375"/>
      <w:r>
        <w:rPr>
          <w:rFonts w:hint="eastAsia" w:ascii="仿宋" w:hAnsi="仿宋" w:eastAsia="仿宋" w:cs="黑体"/>
          <w:kern w:val="2"/>
          <w:sz w:val="32"/>
          <w:szCs w:val="32"/>
        </w:rPr>
        <w:t>五、财政拨款支出决算明细表</w:t>
      </w:r>
      <w:bookmarkEnd w:id="21"/>
    </w:p>
    <w:p>
      <w:pPr>
        <w:pStyle w:val="4"/>
        <w:spacing w:line="576" w:lineRule="exact"/>
        <w:ind w:firstLine="640" w:firstLineChars="200"/>
        <w:rPr>
          <w:rFonts w:hint="eastAsia" w:ascii="仿宋" w:hAnsi="仿宋" w:eastAsia="仿宋" w:cs="黑体"/>
          <w:kern w:val="2"/>
          <w:sz w:val="32"/>
          <w:szCs w:val="32"/>
        </w:rPr>
      </w:pPr>
      <w:bookmarkStart w:id="22" w:name="_Toc148450376"/>
      <w:r>
        <w:rPr>
          <w:rFonts w:hint="eastAsia" w:ascii="仿宋" w:hAnsi="仿宋" w:eastAsia="仿宋" w:cs="黑体"/>
          <w:kern w:val="2"/>
          <w:sz w:val="32"/>
          <w:szCs w:val="32"/>
        </w:rPr>
        <w:t>六、一般公共预算财政拨款支出决算表</w:t>
      </w:r>
      <w:bookmarkEnd w:id="22"/>
    </w:p>
    <w:p>
      <w:pPr>
        <w:pStyle w:val="4"/>
        <w:spacing w:line="576" w:lineRule="exact"/>
        <w:ind w:firstLine="640" w:firstLineChars="200"/>
        <w:rPr>
          <w:rFonts w:hint="eastAsia" w:ascii="仿宋" w:hAnsi="仿宋" w:eastAsia="仿宋" w:cs="黑体"/>
          <w:kern w:val="2"/>
          <w:sz w:val="32"/>
          <w:szCs w:val="32"/>
        </w:rPr>
      </w:pPr>
      <w:bookmarkStart w:id="23" w:name="_Toc148450377"/>
      <w:r>
        <w:rPr>
          <w:rFonts w:hint="eastAsia" w:ascii="仿宋" w:hAnsi="仿宋" w:eastAsia="仿宋" w:cs="黑体"/>
          <w:kern w:val="2"/>
          <w:sz w:val="32"/>
          <w:szCs w:val="32"/>
        </w:rPr>
        <w:t>七、一般公共预算财政拨款支出决算明细表</w:t>
      </w:r>
      <w:bookmarkEnd w:id="23"/>
    </w:p>
    <w:p>
      <w:pPr>
        <w:pStyle w:val="4"/>
        <w:spacing w:line="576" w:lineRule="exact"/>
        <w:ind w:firstLine="640" w:firstLineChars="200"/>
        <w:rPr>
          <w:rFonts w:hint="eastAsia" w:ascii="仿宋" w:hAnsi="仿宋" w:eastAsia="仿宋" w:cs="黑体"/>
          <w:kern w:val="2"/>
          <w:sz w:val="32"/>
          <w:szCs w:val="32"/>
        </w:rPr>
      </w:pPr>
      <w:bookmarkStart w:id="24" w:name="_Toc148450378"/>
      <w:r>
        <w:rPr>
          <w:rFonts w:hint="eastAsia" w:ascii="仿宋" w:hAnsi="仿宋" w:eastAsia="仿宋" w:cs="黑体"/>
          <w:kern w:val="2"/>
          <w:sz w:val="32"/>
          <w:szCs w:val="32"/>
        </w:rPr>
        <w:t>八、一般公共预算财政拨款基本支出决算明细表</w:t>
      </w:r>
      <w:bookmarkEnd w:id="24"/>
    </w:p>
    <w:p>
      <w:pPr>
        <w:pStyle w:val="4"/>
        <w:spacing w:line="576" w:lineRule="exact"/>
        <w:ind w:firstLine="640" w:firstLineChars="200"/>
        <w:rPr>
          <w:rFonts w:hint="eastAsia" w:ascii="仿宋" w:hAnsi="仿宋" w:eastAsia="仿宋" w:cs="黑体"/>
          <w:kern w:val="2"/>
          <w:sz w:val="32"/>
          <w:szCs w:val="32"/>
        </w:rPr>
      </w:pPr>
      <w:bookmarkStart w:id="25" w:name="_Toc148450379"/>
      <w:r>
        <w:rPr>
          <w:rFonts w:hint="eastAsia" w:ascii="仿宋" w:hAnsi="仿宋" w:eastAsia="仿宋" w:cs="黑体"/>
          <w:kern w:val="2"/>
          <w:sz w:val="32"/>
          <w:szCs w:val="32"/>
        </w:rPr>
        <w:t>九、一般公共预算财政拨款项目支出决算表</w:t>
      </w:r>
      <w:bookmarkEnd w:id="25"/>
    </w:p>
    <w:p>
      <w:pPr>
        <w:pStyle w:val="4"/>
        <w:spacing w:line="576" w:lineRule="exact"/>
        <w:ind w:firstLine="640" w:firstLineChars="200"/>
        <w:rPr>
          <w:rFonts w:hint="eastAsia" w:ascii="仿宋" w:hAnsi="仿宋" w:eastAsia="仿宋" w:cs="黑体"/>
          <w:kern w:val="2"/>
          <w:sz w:val="32"/>
          <w:szCs w:val="32"/>
        </w:rPr>
      </w:pPr>
      <w:bookmarkStart w:id="26" w:name="_Toc148450380"/>
      <w:r>
        <w:rPr>
          <w:rFonts w:hint="eastAsia" w:ascii="仿宋" w:hAnsi="仿宋" w:eastAsia="仿宋" w:cs="黑体"/>
          <w:kern w:val="2"/>
          <w:sz w:val="32"/>
          <w:szCs w:val="32"/>
        </w:rPr>
        <w:t>十、政府性基金预算财政拨款收入支出决算表</w:t>
      </w:r>
      <w:bookmarkEnd w:id="26"/>
    </w:p>
    <w:p>
      <w:pPr>
        <w:pStyle w:val="4"/>
        <w:spacing w:line="576" w:lineRule="exact"/>
        <w:ind w:firstLine="640" w:firstLineChars="200"/>
        <w:rPr>
          <w:rFonts w:hint="eastAsia" w:ascii="仿宋" w:hAnsi="仿宋" w:eastAsia="仿宋" w:cs="黑体"/>
          <w:kern w:val="2"/>
          <w:sz w:val="32"/>
          <w:szCs w:val="32"/>
        </w:rPr>
      </w:pPr>
      <w:bookmarkStart w:id="27" w:name="_Toc148450381"/>
      <w:r>
        <w:rPr>
          <w:rFonts w:hint="eastAsia" w:ascii="仿宋" w:hAnsi="仿宋" w:eastAsia="仿宋" w:cs="黑体"/>
          <w:kern w:val="2"/>
          <w:sz w:val="32"/>
          <w:szCs w:val="32"/>
        </w:rPr>
        <w:t>十一、国有资本经营预算财政拨款收入支出决算表</w:t>
      </w:r>
      <w:bookmarkEnd w:id="27"/>
    </w:p>
    <w:p>
      <w:pPr>
        <w:pStyle w:val="4"/>
        <w:spacing w:line="576" w:lineRule="exact"/>
        <w:ind w:firstLine="640" w:firstLineChars="200"/>
        <w:rPr>
          <w:rFonts w:hint="eastAsia" w:ascii="仿宋" w:hAnsi="仿宋" w:eastAsia="仿宋" w:cs="黑体"/>
          <w:kern w:val="2"/>
          <w:sz w:val="32"/>
          <w:szCs w:val="32"/>
        </w:rPr>
      </w:pPr>
      <w:bookmarkStart w:id="28" w:name="_Toc148450382"/>
      <w:r>
        <w:rPr>
          <w:rFonts w:hint="eastAsia" w:ascii="仿宋" w:hAnsi="仿宋" w:eastAsia="仿宋" w:cs="黑体"/>
          <w:kern w:val="2"/>
          <w:sz w:val="32"/>
          <w:szCs w:val="32"/>
        </w:rPr>
        <w:t>十二、国有资本经营预算财政拨款支出决算表</w:t>
      </w:r>
      <w:bookmarkEnd w:id="28"/>
    </w:p>
    <w:p>
      <w:pPr>
        <w:pStyle w:val="4"/>
        <w:spacing w:line="576" w:lineRule="exact"/>
        <w:ind w:firstLine="640" w:firstLineChars="200"/>
        <w:rPr>
          <w:rFonts w:hint="eastAsia" w:ascii="仿宋" w:hAnsi="仿宋" w:eastAsia="仿宋" w:cs="黑体"/>
          <w:kern w:val="2"/>
          <w:sz w:val="32"/>
          <w:szCs w:val="32"/>
        </w:rPr>
      </w:pPr>
      <w:bookmarkStart w:id="29" w:name="_Toc148450383"/>
      <w:r>
        <w:rPr>
          <w:rFonts w:hint="eastAsia" w:ascii="仿宋" w:hAnsi="仿宋" w:eastAsia="仿宋" w:cs="黑体"/>
          <w:kern w:val="2"/>
          <w:sz w:val="32"/>
          <w:szCs w:val="32"/>
        </w:rPr>
        <w:t>十三、财政拨款“三公”经费支出决算表</w:t>
      </w:r>
      <w:bookmarkEnd w:id="29"/>
    </w:p>
    <w:p>
      <w:pPr>
        <w:pStyle w:val="4"/>
        <w:spacing w:line="576" w:lineRule="exact"/>
        <w:ind w:firstLine="640" w:firstLineChars="200"/>
        <w:rPr>
          <w:rFonts w:hint="eastAsia" w:ascii="仿宋" w:hAnsi="仿宋" w:eastAsia="仿宋" w:cs="黑体"/>
          <w:kern w:val="2"/>
          <w:sz w:val="32"/>
          <w:szCs w:val="32"/>
        </w:rPr>
      </w:pPr>
    </w:p>
    <w:sectPr>
      <w:headerReference r:id="rId9" w:type="default"/>
      <w:footerReference r:id="rId10" w:type="default"/>
      <w:pgSz w:w="12240" w:h="15840"/>
      <w:pgMar w:top="1440" w:right="1800" w:bottom="1440" w:left="1800" w:header="720" w:footer="720" w:gutter="0"/>
      <w:pgNumType w:start="3"/>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Courier New"/>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
    <w:altName w:val="Times New Roman"/>
    <w:panose1 w:val="00000000000000000000"/>
    <w:charset w:val="00"/>
    <w:family w:val="roman"/>
    <w:pitch w:val="default"/>
    <w:sig w:usb0="00000000" w:usb1="00000000" w:usb2="00000000" w:usb3="00000000" w:csb0="00040001" w:csb1="00000000"/>
  </w:font>
  <w:font w:name="方正小标宋简体">
    <w:altName w:val="黑体"/>
    <w:panose1 w:val="03000509000000000000"/>
    <w:charset w:val="86"/>
    <w:family w:val="script"/>
    <w:pitch w:val="default"/>
    <w:sig w:usb0="00000000" w:usb1="00000000" w:usb2="00000010" w:usb3="00000000" w:csb0="00040000" w:csb1="00000000"/>
  </w:font>
  <w:font w:name="仿宋">
    <w:altName w:val="宋体"/>
    <w:panose1 w:val="02010609060101010101"/>
    <w:charset w:val="86"/>
    <w:family w:val="modern"/>
    <w:pitch w:val="default"/>
    <w:sig w:usb0="00000000" w:usb1="00000000" w:usb2="00000016" w:usb3="00000000" w:csb0="00040001" w:csb1="00000000"/>
  </w:font>
  <w:font w:name="Courier New">
    <w:panose1 w:val="02070309020205020404"/>
    <w:charset w:val="00"/>
    <w:family w:val="auto"/>
    <w:pitch w:val="default"/>
    <w:sig w:usb0="00007A87" w:usb1="80000000" w:usb2="00000008" w:usb3="00000000" w:csb0="400001FF" w:csb1="FFFF0000"/>
  </w:font>
  <w:font w:name="等线 Light">
    <w:altName w:val="Courier New"/>
    <w:panose1 w:val="00000000000000000000"/>
    <w:charset w:val="00"/>
    <w:family w:val="auto"/>
    <w:pitch w:val="default"/>
    <w:sig w:usb0="00000000" w:usb1="00000000" w:usb2="00000000" w:usb3="00000000" w:csb0="00000000" w:csb1="00000000"/>
  </w:font>
  <w:font w:name="Lucida Sans Unicode">
    <w:panose1 w:val="020B0602030504020204"/>
    <w:charset w:val="00"/>
    <w:family w:val="auto"/>
    <w:pitch w:val="default"/>
    <w:sig w:usb0="80001AFF" w:usb1="0000396B" w:usb2="00000000" w:usb3="00000000" w:csb0="0000003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6399534"/>
      <w:docPartObj>
        <w:docPartGallery w:val="autotext"/>
      </w:docPartObj>
    </w:sdtPr>
    <w:sdtContent>
      <w:p>
        <w:pPr>
          <w:pStyle w:val="10"/>
          <w:jc w:val="right"/>
        </w:pPr>
        <w:r>
          <w:fldChar w:fldCharType="begin"/>
        </w:r>
        <w:r>
          <w:instrText xml:space="preserve">PAGE   \* MERGEFORMAT</w:instrText>
        </w:r>
        <w:r>
          <w:fldChar w:fldCharType="separate"/>
        </w:r>
        <w:r>
          <w:rPr>
            <w:lang w:val="zh-CN"/>
          </w:rPr>
          <w:t>2</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0E106C"/>
    <w:multiLevelType w:val="singleLevel"/>
    <w:tmpl w:val="8A0E106C"/>
    <w:lvl w:ilvl="0" w:tentative="0">
      <w:start w:val="7"/>
      <w:numFmt w:val="chineseCounting"/>
      <w:suff w:val="nothing"/>
      <w:lvlText w:val="%1、"/>
      <w:lvlJc w:val="left"/>
      <w:rPr>
        <w:rFonts w:hint="eastAsia"/>
      </w:rPr>
    </w:lvl>
  </w:abstractNum>
  <w:abstractNum w:abstractNumId="1">
    <w:nsid w:val="04B89035"/>
    <w:multiLevelType w:val="multilevel"/>
    <w:tmpl w:val="04B89035"/>
    <w:lvl w:ilvl="0" w:tentative="0">
      <w:start w:val="3"/>
      <w:numFmt w:val="chineseCounting"/>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2C"/>
    <w:rsid w:val="00122DAC"/>
    <w:rsid w:val="00150E13"/>
    <w:rsid w:val="00151D2C"/>
    <w:rsid w:val="00151F36"/>
    <w:rsid w:val="00193572"/>
    <w:rsid w:val="001D56EB"/>
    <w:rsid w:val="002362E5"/>
    <w:rsid w:val="00243FBA"/>
    <w:rsid w:val="002B4686"/>
    <w:rsid w:val="00302401"/>
    <w:rsid w:val="00340B6F"/>
    <w:rsid w:val="00371010"/>
    <w:rsid w:val="00372A07"/>
    <w:rsid w:val="00424A18"/>
    <w:rsid w:val="00510191"/>
    <w:rsid w:val="00517C41"/>
    <w:rsid w:val="005B6D98"/>
    <w:rsid w:val="0061019A"/>
    <w:rsid w:val="00663AEB"/>
    <w:rsid w:val="00712E48"/>
    <w:rsid w:val="007A7F4F"/>
    <w:rsid w:val="009A3FF7"/>
    <w:rsid w:val="00A215FF"/>
    <w:rsid w:val="00A46306"/>
    <w:rsid w:val="00A50937"/>
    <w:rsid w:val="00B0092A"/>
    <w:rsid w:val="00B834DA"/>
    <w:rsid w:val="00C20C1A"/>
    <w:rsid w:val="00C71637"/>
    <w:rsid w:val="00D05D5B"/>
    <w:rsid w:val="00E56FCA"/>
    <w:rsid w:val="00EA68B4"/>
    <w:rsid w:val="00F70969"/>
    <w:rsid w:val="00F76EB0"/>
    <w:rsid w:val="00FE3534"/>
    <w:rsid w:val="0253180F"/>
    <w:rsid w:val="053927FD"/>
    <w:rsid w:val="07CA3836"/>
    <w:rsid w:val="0E203D2D"/>
    <w:rsid w:val="144E6BA3"/>
    <w:rsid w:val="14D500A2"/>
    <w:rsid w:val="15C70BB6"/>
    <w:rsid w:val="198B7319"/>
    <w:rsid w:val="1C8911CF"/>
    <w:rsid w:val="22383DB3"/>
    <w:rsid w:val="225653F3"/>
    <w:rsid w:val="234B5CC7"/>
    <w:rsid w:val="25574AEE"/>
    <w:rsid w:val="2C467261"/>
    <w:rsid w:val="2CDC745C"/>
    <w:rsid w:val="2D5747E2"/>
    <w:rsid w:val="36067F1D"/>
    <w:rsid w:val="36A0048A"/>
    <w:rsid w:val="376E2C6F"/>
    <w:rsid w:val="38E4018E"/>
    <w:rsid w:val="3A5D2050"/>
    <w:rsid w:val="3AAF3C58"/>
    <w:rsid w:val="3C06074A"/>
    <w:rsid w:val="3E946EB1"/>
    <w:rsid w:val="40465DF3"/>
    <w:rsid w:val="425D40DE"/>
    <w:rsid w:val="427413BA"/>
    <w:rsid w:val="49901E45"/>
    <w:rsid w:val="4B2C7A43"/>
    <w:rsid w:val="4E851956"/>
    <w:rsid w:val="4EA57E15"/>
    <w:rsid w:val="511E7174"/>
    <w:rsid w:val="582E79F6"/>
    <w:rsid w:val="5A453432"/>
    <w:rsid w:val="5BA87CB7"/>
    <w:rsid w:val="5E932763"/>
    <w:rsid w:val="602328ED"/>
    <w:rsid w:val="62990B61"/>
    <w:rsid w:val="62D133AF"/>
    <w:rsid w:val="635A37D4"/>
    <w:rsid w:val="65FF220F"/>
    <w:rsid w:val="660A3019"/>
    <w:rsid w:val="67982E2E"/>
    <w:rsid w:val="682C7953"/>
    <w:rsid w:val="7DCE073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99" w:semiHidden="0" w:name="Normal"/>
    <w:lsdException w:qFormat="1" w:unhideWhenUsed="0" w:uiPriority="99" w:semiHidden="0" w:name="heading 1"/>
    <w:lsdException w:qFormat="1" w:unhideWhenUsed="0" w:uiPriority="99" w:semiHidden="0" w:name="heading 2"/>
    <w:lsdException w:qFormat="1" w:uiPriority="99" w:name="heading 3"/>
    <w:lsdException w:qFormat="1" w:uiPriority="99" w:name="heading 4"/>
    <w:lsdException w:qFormat="1" w:uiPriority="99" w:name="heading 5"/>
    <w:lsdException w:qFormat="1" w:uiPriority="99" w:name="heading 6"/>
    <w:lsdException w:qFormat="1" w:uiPriority="99" w:name="heading 7"/>
    <w:lsdException w:qFormat="1" w:uiPriority="99" w:name="heading 8"/>
    <w:lsdException w:qFormat="1" w:uiPriority="99"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iPriority="99" w:semiHidden="0" w:name="index 8"/>
    <w:lsdException w:qFormat="1" w:unhideWhenUsed="0"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iPriority="99"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uiPriority="1" w:name="Default Paragraph Font"/>
    <w:lsdException w:qFormat="1" w:uiPriority="99" w:semiHidden="0" w:name="Body Text"/>
    <w:lsdException w:qFormat="1" w:unhideWhenUsed="0" w:uiPriority="0"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nhideWhenUsed="0" w:uiPriority="99" w:semiHidden="0" w:name="Table Grid"/>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9"/>
    <w:pPr>
      <w:widowControl w:val="0"/>
      <w:autoSpaceDE w:val="0"/>
      <w:autoSpaceDN w:val="0"/>
      <w:adjustRightInd w:val="0"/>
    </w:pPr>
    <w:rPr>
      <w:rFonts w:ascii="Times New Roman" w:hAnsi="Times New Roman" w:eastAsia="等线" w:cs="Times New Roman"/>
      <w:sz w:val="24"/>
      <w:szCs w:val="24"/>
      <w:lang w:val="en-US" w:eastAsia="zh-CN" w:bidi="ar-SA"/>
      <w14:ligatures w14:val="standardContextual"/>
    </w:rPr>
  </w:style>
  <w:style w:type="paragraph" w:styleId="3">
    <w:name w:val="heading 1"/>
    <w:basedOn w:val="1"/>
    <w:next w:val="1"/>
    <w:link w:val="18"/>
    <w:qFormat/>
    <w:uiPriority w:val="99"/>
    <w:pPr>
      <w:outlineLvl w:val="0"/>
    </w:pPr>
  </w:style>
  <w:style w:type="paragraph" w:styleId="4">
    <w:name w:val="heading 2"/>
    <w:basedOn w:val="1"/>
    <w:next w:val="1"/>
    <w:link w:val="19"/>
    <w:qFormat/>
    <w:uiPriority w:val="99"/>
    <w:pPr>
      <w:outlineLvl w:val="1"/>
    </w:pPr>
  </w:style>
  <w:style w:type="character" w:default="1" w:styleId="15">
    <w:name w:val="Default Paragraph Font"/>
    <w:semiHidden/>
    <w:unhideWhenUsed/>
    <w:uiPriority w:val="1"/>
  </w:style>
  <w:style w:type="table" w:default="1" w:styleId="17">
    <w:name w:val="Normal Table"/>
    <w:semiHidden/>
    <w:unhideWhenUsed/>
    <w:uiPriority w:val="99"/>
    <w:tblPr>
      <w:tblLayout w:type="fixed"/>
      <w:tblCellMar>
        <w:top w:w="0" w:type="dxa"/>
        <w:left w:w="108" w:type="dxa"/>
        <w:bottom w:w="0" w:type="dxa"/>
        <w:right w:w="108" w:type="dxa"/>
      </w:tblCellMar>
    </w:tblPr>
  </w:style>
  <w:style w:type="paragraph" w:customStyle="1" w:styleId="2">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paragraph" w:styleId="5">
    <w:name w:val="index 8"/>
    <w:basedOn w:val="1"/>
    <w:next w:val="1"/>
    <w:unhideWhenUsed/>
    <w:qFormat/>
    <w:uiPriority w:val="99"/>
    <w:pPr>
      <w:ind w:left="2940"/>
    </w:pPr>
  </w:style>
  <w:style w:type="paragraph" w:styleId="6">
    <w:name w:val="Body Text"/>
    <w:basedOn w:val="1"/>
    <w:next w:val="5"/>
    <w:link w:val="21"/>
    <w:unhideWhenUsed/>
    <w:qFormat/>
    <w:uiPriority w:val="99"/>
    <w:pPr>
      <w:spacing w:beforeLines="30"/>
    </w:pPr>
    <w:rPr>
      <w:rFonts w:ascii="仿宋_GB2312" w:eastAsia="仿宋_GB2312" w:cs="仿宋_GB2312"/>
    </w:rPr>
  </w:style>
  <w:style w:type="paragraph" w:styleId="7">
    <w:name w:val="Body Text Indent"/>
    <w:basedOn w:val="1"/>
    <w:next w:val="8"/>
    <w:qFormat/>
    <w:uiPriority w:val="0"/>
    <w:pPr>
      <w:spacing w:after="120"/>
      <w:ind w:left="200"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toc 3"/>
    <w:basedOn w:val="1"/>
    <w:next w:val="1"/>
    <w:qFormat/>
    <w:uiPriority w:val="39"/>
    <w:pPr>
      <w:ind w:left="840" w:leftChars="400"/>
    </w:pPr>
  </w:style>
  <w:style w:type="paragraph" w:styleId="10">
    <w:name w:val="footer"/>
    <w:basedOn w:val="1"/>
    <w:link w:val="24"/>
    <w:qFormat/>
    <w:uiPriority w:val="99"/>
    <w:pPr>
      <w:tabs>
        <w:tab w:val="center" w:pos="4153"/>
        <w:tab w:val="right" w:pos="8306"/>
      </w:tabs>
      <w:snapToGrid w:val="0"/>
    </w:pPr>
    <w:rPr>
      <w:sz w:val="18"/>
      <w:szCs w:val="18"/>
    </w:rPr>
  </w:style>
  <w:style w:type="paragraph" w:styleId="11">
    <w:name w:val="header"/>
    <w:basedOn w:val="1"/>
    <w:link w:val="23"/>
    <w:qFormat/>
    <w:uiPriority w:val="99"/>
    <w:pP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footnote text"/>
    <w:basedOn w:val="1"/>
    <w:next w:val="8"/>
    <w:semiHidden/>
    <w:qFormat/>
    <w:uiPriority w:val="0"/>
    <w:pPr>
      <w:snapToGrid w:val="0"/>
    </w:pPr>
    <w:rPr>
      <w:sz w:val="18"/>
      <w:szCs w:val="18"/>
    </w:rPr>
  </w:style>
  <w:style w:type="paragraph" w:styleId="14">
    <w:name w:val="toc 2"/>
    <w:basedOn w:val="1"/>
    <w:next w:val="1"/>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character" w:customStyle="1" w:styleId="18">
    <w:name w:val="标题 1 字符"/>
    <w:basedOn w:val="15"/>
    <w:link w:val="3"/>
    <w:qFormat/>
    <w:uiPriority w:val="9"/>
    <w:rPr>
      <w:rFonts w:ascii="Times New Roman" w:hAnsi="Times New Roman" w:cs="Times New Roman"/>
      <w:b/>
      <w:bCs/>
      <w:kern w:val="44"/>
      <w:sz w:val="44"/>
      <w:szCs w:val="44"/>
    </w:rPr>
  </w:style>
  <w:style w:type="character" w:customStyle="1" w:styleId="19">
    <w:name w:val="标题 2 字符"/>
    <w:basedOn w:val="15"/>
    <w:link w:val="4"/>
    <w:semiHidden/>
    <w:qFormat/>
    <w:uiPriority w:val="9"/>
    <w:rPr>
      <w:rFonts w:asciiTheme="majorHAnsi" w:hAnsiTheme="majorHAnsi" w:eastAsiaTheme="majorEastAsia" w:cstheme="majorBidi"/>
      <w:b/>
      <w:bCs/>
      <w:kern w:val="0"/>
      <w:sz w:val="32"/>
      <w:szCs w:val="32"/>
    </w:rPr>
  </w:style>
  <w:style w:type="character" w:customStyle="1" w:styleId="20">
    <w:name w:val="15"/>
    <w:basedOn w:val="15"/>
    <w:unhideWhenUsed/>
    <w:qFormat/>
    <w:uiPriority w:val="0"/>
    <w:rPr>
      <w:rFonts w:eastAsia="Times New Roman"/>
      <w:b/>
      <w:bCs/>
    </w:rPr>
  </w:style>
  <w:style w:type="character" w:customStyle="1" w:styleId="21">
    <w:name w:val="正文文本 字符"/>
    <w:basedOn w:val="15"/>
    <w:link w:val="6"/>
    <w:semiHidden/>
    <w:qFormat/>
    <w:uiPriority w:val="99"/>
    <w:rPr>
      <w:rFonts w:ascii="Times New Roman" w:hAnsi="Times New Roman" w:cs="Times New Roman"/>
      <w:kern w:val="0"/>
      <w:sz w:val="24"/>
      <w:szCs w:val="24"/>
    </w:rPr>
  </w:style>
  <w:style w:type="paragraph" w:customStyle="1" w:styleId="22">
    <w:name w:val="TOC 标题1"/>
    <w:basedOn w:val="3"/>
    <w:next w:val="1"/>
    <w:unhideWhenUsed/>
    <w:qFormat/>
    <w:uiPriority w:val="39"/>
    <w:pPr>
      <w:keepNext/>
      <w:keepLines/>
      <w:widowControl/>
      <w:autoSpaceDE/>
      <w:autoSpaceDN/>
      <w:adjustRightInd/>
      <w:spacing w:before="240" w:line="259" w:lineRule="auto"/>
      <w:outlineLvl w:val="9"/>
    </w:pPr>
    <w:rPr>
      <w:rFonts w:asciiTheme="majorHAnsi" w:hAnsiTheme="majorHAnsi" w:eastAsiaTheme="majorEastAsia" w:cstheme="majorBidi"/>
      <w:color w:val="2F5597" w:themeColor="accent1" w:themeShade="BF"/>
      <w:sz w:val="32"/>
      <w:szCs w:val="32"/>
      <w14:ligatures w14:val="none"/>
    </w:rPr>
  </w:style>
  <w:style w:type="character" w:customStyle="1" w:styleId="23">
    <w:name w:val="页眉 字符"/>
    <w:basedOn w:val="15"/>
    <w:link w:val="11"/>
    <w:qFormat/>
    <w:uiPriority w:val="99"/>
    <w:rPr>
      <w:rFonts w:ascii="Times New Roman" w:hAnsi="Times New Roman" w:cs="Times New Roman"/>
      <w:kern w:val="0"/>
      <w:sz w:val="18"/>
      <w:szCs w:val="18"/>
    </w:rPr>
  </w:style>
  <w:style w:type="character" w:customStyle="1" w:styleId="24">
    <w:name w:val="页脚 字符"/>
    <w:basedOn w:val="15"/>
    <w:link w:val="10"/>
    <w:qFormat/>
    <w:uiPriority w:val="99"/>
    <w:rPr>
      <w:rFonts w:ascii="Times New Roman" w:hAnsi="Times New Roman" w:cs="Times New Roman"/>
      <w:kern w:val="0"/>
      <w:sz w:val="18"/>
      <w:szCs w:val="18"/>
    </w:rPr>
  </w:style>
  <w:style w:type="paragraph" w:customStyle="1" w:styleId="25">
    <w:name w:val="四号正文"/>
    <w:basedOn w:val="1"/>
    <w:qFormat/>
    <w:uiPriority w:val="0"/>
    <w:pPr>
      <w:spacing w:line="360" w:lineRule="auto"/>
    </w:pPr>
    <w:rPr>
      <w:rFonts w:ascii="??" w:hAnsi="??" w:eastAsia="宋体"/>
      <w:color w:val="000000"/>
      <w:sz w:val="28"/>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022&#24180;&#24230;&#27896;&#21439;&#24471;&#32988;&#38215;&#20154;&#27665;&#25919;&#24220;&#21333;&#20301;&#20915;&#31639;&#20844;&#24320;&#32534;&#21046;&#35828;&#261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8F42D2-5498-442C-8AF0-0F87A21E9F17}">
  <ds:schemaRefs/>
</ds:datastoreItem>
</file>

<file path=docProps/app.xml><?xml version="1.0" encoding="utf-8"?>
<Properties xmlns="http://schemas.openxmlformats.org/officeDocument/2006/extended-properties" xmlns:vt="http://schemas.openxmlformats.org/officeDocument/2006/docPropsVTypes">
  <Template>2022年度泸县得胜镇人民政府单位决算公开编制说明</Template>
  <Pages>28</Pages>
  <Words>1444</Words>
  <Characters>8236</Characters>
  <Lines>68</Lines>
  <Paragraphs>19</Paragraphs>
  <TotalTime>10</TotalTime>
  <ScaleCrop>false</ScaleCrop>
  <LinksUpToDate>false</LinksUpToDate>
  <CharactersWithSpaces>9661</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2023-10-17T06:34:00Z</dcterms:created>
  <dc:creator>Administrator</dc:creator>
  <cp:lastModifiedBy>Administrator</cp:lastModifiedBy>
  <dcterms:modified xsi:type="dcterms:W3CDTF">2024-12-26T08:47:32Z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